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0D44F" w14:textId="466F5156" w:rsidR="0051780C" w:rsidRPr="00962376" w:rsidRDefault="0051780C" w:rsidP="0051780C">
      <w:pPr>
        <w:rPr>
          <w:lang w:val="en-GB"/>
        </w:rPr>
      </w:pPr>
      <w:r w:rsidRPr="00552334">
        <w:rPr>
          <w:noProof/>
          <w:lang w:val="en-GB" w:eastAsia="en-GB" w:bidi="ar-SA"/>
        </w:rPr>
        <w:drawing>
          <wp:inline distT="0" distB="0" distL="0" distR="0" wp14:anchorId="78B39EA5" wp14:editId="37902C4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BFA1B46" w14:textId="77777777" w:rsidR="00724D8F" w:rsidRPr="00E239E1" w:rsidRDefault="00724D8F" w:rsidP="00724D8F"/>
    <w:p w14:paraId="64F4FAE2" w14:textId="6D6A850C" w:rsidR="00724D8F" w:rsidRDefault="009B7462" w:rsidP="00724D8F">
      <w:pPr>
        <w:tabs>
          <w:tab w:val="left" w:pos="851"/>
        </w:tabs>
        <w:rPr>
          <w:b/>
          <w:sz w:val="28"/>
          <w:szCs w:val="28"/>
        </w:rPr>
      </w:pPr>
      <w:r>
        <w:rPr>
          <w:b/>
          <w:sz w:val="28"/>
          <w:szCs w:val="28"/>
        </w:rPr>
        <w:t>2</w:t>
      </w:r>
      <w:r w:rsidR="00A272E7">
        <w:rPr>
          <w:b/>
          <w:sz w:val="28"/>
          <w:szCs w:val="28"/>
        </w:rPr>
        <w:t>3</w:t>
      </w:r>
      <w:bookmarkStart w:id="0" w:name="_GoBack"/>
      <w:bookmarkEnd w:id="0"/>
      <w:r w:rsidR="00724D8F">
        <w:rPr>
          <w:b/>
          <w:sz w:val="28"/>
          <w:szCs w:val="28"/>
        </w:rPr>
        <w:t xml:space="preserve"> March 2017</w:t>
      </w:r>
    </w:p>
    <w:p w14:paraId="2549A19F" w14:textId="77777777" w:rsidR="00724D8F" w:rsidRDefault="00724D8F" w:rsidP="00724D8F">
      <w:pPr>
        <w:rPr>
          <w:b/>
          <w:sz w:val="28"/>
          <w:szCs w:val="28"/>
        </w:rPr>
      </w:pPr>
      <w:r>
        <w:rPr>
          <w:b/>
          <w:sz w:val="28"/>
          <w:szCs w:val="28"/>
        </w:rPr>
        <w:t>[08–17]</w:t>
      </w:r>
    </w:p>
    <w:p w14:paraId="14CA0B5C" w14:textId="77777777" w:rsidR="00724D8F" w:rsidRPr="00A671E6" w:rsidRDefault="00724D8F" w:rsidP="00724D8F"/>
    <w:p w14:paraId="151ECBF5" w14:textId="77777777" w:rsidR="0051780C" w:rsidRPr="00962376" w:rsidRDefault="0051780C" w:rsidP="0051780C">
      <w:pPr>
        <w:pStyle w:val="FSTitle"/>
        <w:rPr>
          <w:b/>
          <w:lang w:val="en-GB"/>
        </w:rPr>
      </w:pPr>
      <w:r w:rsidRPr="00962376">
        <w:rPr>
          <w:b/>
          <w:lang w:val="en-GB"/>
        </w:rPr>
        <w:t>Supporting document 1</w:t>
      </w:r>
    </w:p>
    <w:p w14:paraId="5983201D" w14:textId="77777777" w:rsidR="0051780C" w:rsidRPr="00962376" w:rsidRDefault="0051780C" w:rsidP="0051780C">
      <w:pPr>
        <w:rPr>
          <w:lang w:val="en-GB"/>
        </w:rPr>
      </w:pPr>
    </w:p>
    <w:p w14:paraId="1673D586" w14:textId="7B440553" w:rsidR="0051780C" w:rsidRPr="00962376" w:rsidRDefault="0051780C" w:rsidP="0051780C">
      <w:pPr>
        <w:pStyle w:val="FSTitle"/>
        <w:rPr>
          <w:lang w:val="en-GB"/>
        </w:rPr>
      </w:pPr>
      <w:r w:rsidRPr="00962376">
        <w:rPr>
          <w:lang w:val="en-GB"/>
        </w:rPr>
        <w:t>Risk assessment</w:t>
      </w:r>
      <w:r w:rsidR="00AE769F">
        <w:rPr>
          <w:lang w:val="en-GB"/>
        </w:rPr>
        <w:t xml:space="preserve"> (at Approval)</w:t>
      </w:r>
      <w:r w:rsidRPr="00962376">
        <w:rPr>
          <w:lang w:val="en-GB"/>
        </w:rPr>
        <w:t xml:space="preserve"> – Application A1134</w:t>
      </w:r>
    </w:p>
    <w:p w14:paraId="74D3391D" w14:textId="77777777" w:rsidR="0051780C" w:rsidRPr="00962376" w:rsidRDefault="0051780C" w:rsidP="0051780C">
      <w:pPr>
        <w:rPr>
          <w:lang w:val="en-GB"/>
        </w:rPr>
      </w:pPr>
    </w:p>
    <w:p w14:paraId="6642F9A8" w14:textId="77777777" w:rsidR="0051780C" w:rsidRDefault="0051780C" w:rsidP="0051780C">
      <w:pPr>
        <w:pBdr>
          <w:bottom w:val="single" w:sz="12" w:space="1" w:color="auto"/>
        </w:pBdr>
        <w:rPr>
          <w:rFonts w:cs="Tahoma"/>
          <w:bCs/>
          <w:sz w:val="32"/>
          <w:lang w:val="en-GB"/>
        </w:rPr>
      </w:pPr>
      <w:r w:rsidRPr="00962376">
        <w:rPr>
          <w:rFonts w:cs="Tahoma"/>
          <w:bCs/>
          <w:sz w:val="32"/>
          <w:lang w:val="en-GB"/>
        </w:rPr>
        <w:t>Increased Concentration of Plant Sterols in Breakfast Cereals</w:t>
      </w:r>
    </w:p>
    <w:p w14:paraId="32708011" w14:textId="77777777" w:rsidR="0051780C" w:rsidRPr="00962376" w:rsidRDefault="0051780C" w:rsidP="0051780C">
      <w:pPr>
        <w:pBdr>
          <w:bottom w:val="single" w:sz="12" w:space="1" w:color="auto"/>
        </w:pBdr>
        <w:rPr>
          <w:rFonts w:cs="Arial"/>
          <w:bCs/>
          <w:lang w:val="en-GB"/>
        </w:rPr>
      </w:pPr>
    </w:p>
    <w:p w14:paraId="20EDE472" w14:textId="77777777" w:rsidR="0051780C" w:rsidRPr="00962376" w:rsidRDefault="0051780C" w:rsidP="0051780C">
      <w:pPr>
        <w:rPr>
          <w:lang w:val="en-GB"/>
        </w:rPr>
      </w:pPr>
    </w:p>
    <w:p w14:paraId="3B94A325" w14:textId="77777777" w:rsidR="00997D23" w:rsidRPr="00997D23" w:rsidRDefault="00997D23" w:rsidP="00997D23">
      <w:pPr>
        <w:pStyle w:val="Heading1"/>
      </w:pPr>
      <w:bookmarkStart w:id="1" w:name="_Toc286391001"/>
      <w:bookmarkStart w:id="2" w:name="_Toc300933414"/>
      <w:bookmarkStart w:id="3" w:name="_Toc453078193"/>
      <w:bookmarkStart w:id="4" w:name="_Toc477274197"/>
      <w:r w:rsidRPr="00997D23">
        <w:t>Executive summary</w:t>
      </w:r>
      <w:bookmarkEnd w:id="1"/>
      <w:bookmarkEnd w:id="2"/>
      <w:bookmarkEnd w:id="3"/>
      <w:bookmarkEnd w:id="4"/>
    </w:p>
    <w:p w14:paraId="5C857F15" w14:textId="76147717" w:rsidR="007F1975" w:rsidRDefault="0051780C" w:rsidP="00F936C7">
      <w:pPr>
        <w:widowControl/>
        <w:autoSpaceDE w:val="0"/>
        <w:autoSpaceDN w:val="0"/>
        <w:adjustRightInd w:val="0"/>
        <w:rPr>
          <w:lang w:val="en-GB"/>
        </w:rPr>
      </w:pPr>
      <w:r w:rsidRPr="00552334">
        <w:rPr>
          <w:rFonts w:ascii="ArialMT" w:hAnsi="ArialMT" w:cs="ArialMT"/>
          <w:szCs w:val="22"/>
          <w:lang w:val="en-GB" w:eastAsia="en-GB" w:bidi="ar-SA"/>
        </w:rPr>
        <w:t xml:space="preserve">This Application seeks permission to extend the addition of </w:t>
      </w:r>
      <w:r w:rsidR="0084154A">
        <w:rPr>
          <w:rFonts w:ascii="ArialMT" w:hAnsi="ArialMT" w:cs="ArialMT"/>
          <w:szCs w:val="22"/>
          <w:lang w:val="en-GB" w:eastAsia="en-GB" w:bidi="ar-SA"/>
        </w:rPr>
        <w:t xml:space="preserve">total </w:t>
      </w:r>
      <w:r w:rsidRPr="00552334">
        <w:rPr>
          <w:rFonts w:ascii="ArialMT" w:hAnsi="ArialMT" w:cs="ArialMT"/>
          <w:szCs w:val="22"/>
          <w:lang w:val="en-GB" w:eastAsia="en-GB" w:bidi="ar-SA"/>
        </w:rPr>
        <w:t xml:space="preserve">plant sterol equivalents in breakfast cereals up to a maximum of 2 g </w:t>
      </w:r>
      <w:r w:rsidRPr="00962376">
        <w:rPr>
          <w:lang w:val="en-GB"/>
        </w:rPr>
        <w:t xml:space="preserve">per serve of breakfast cereal. The serve size has not been explicitly stated by the </w:t>
      </w:r>
      <w:r w:rsidR="00724D8F">
        <w:rPr>
          <w:lang w:val="en-GB"/>
        </w:rPr>
        <w:t>A</w:t>
      </w:r>
      <w:r w:rsidRPr="00962376">
        <w:rPr>
          <w:lang w:val="en-GB"/>
        </w:rPr>
        <w:t>pplicant.</w:t>
      </w:r>
      <w:r w:rsidR="007F1975" w:rsidRPr="007F1975">
        <w:rPr>
          <w:lang w:val="en-GB"/>
        </w:rPr>
        <w:t xml:space="preserve"> </w:t>
      </w:r>
    </w:p>
    <w:p w14:paraId="568F456B" w14:textId="77777777" w:rsidR="0051780C" w:rsidRPr="00552334" w:rsidRDefault="0051780C" w:rsidP="0051780C">
      <w:pPr>
        <w:widowControl/>
        <w:autoSpaceDE w:val="0"/>
        <w:autoSpaceDN w:val="0"/>
        <w:adjustRightInd w:val="0"/>
        <w:rPr>
          <w:rFonts w:ascii="ArialMT" w:hAnsi="ArialMT" w:cs="ArialMT"/>
          <w:szCs w:val="22"/>
          <w:lang w:val="en-GB" w:eastAsia="en-GB" w:bidi="ar-SA"/>
        </w:rPr>
      </w:pPr>
    </w:p>
    <w:p w14:paraId="5167094A" w14:textId="26D6AD64" w:rsidR="0051780C" w:rsidRPr="00962376" w:rsidRDefault="0051780C" w:rsidP="00F936C7">
      <w:pPr>
        <w:rPr>
          <w:lang w:val="en-GB" w:eastAsia="en-AU" w:bidi="ar-SA"/>
        </w:rPr>
      </w:pPr>
      <w:r w:rsidRPr="00552334">
        <w:rPr>
          <w:rFonts w:ascii="ArialMT" w:hAnsi="ArialMT" w:cs="ArialMT"/>
          <w:szCs w:val="22"/>
          <w:lang w:val="en-GB" w:eastAsia="en-GB" w:bidi="ar-SA"/>
        </w:rPr>
        <w:t xml:space="preserve">Foods with added plant sterols have been in the food supply since the 1990s, particularly in Europe and the USA. In Australia and New Zealand, </w:t>
      </w:r>
      <w:r w:rsidR="00F936C7">
        <w:rPr>
          <w:rFonts w:ascii="ArialMT" w:hAnsi="ArialMT" w:cs="ArialMT"/>
          <w:szCs w:val="22"/>
          <w:lang w:val="en-GB" w:eastAsia="en-GB" w:bidi="ar-SA"/>
        </w:rPr>
        <w:t xml:space="preserve">it is permitted to add </w:t>
      </w:r>
      <w:r w:rsidRPr="00552334">
        <w:rPr>
          <w:rFonts w:ascii="ArialMT" w:hAnsi="ArialMT" w:cs="ArialMT"/>
          <w:szCs w:val="22"/>
          <w:lang w:val="en-GB" w:eastAsia="en-GB" w:bidi="ar-SA"/>
        </w:rPr>
        <w:t xml:space="preserve">plant sterols </w:t>
      </w:r>
      <w:r w:rsidR="00F936C7">
        <w:rPr>
          <w:rFonts w:ascii="ArialMT" w:hAnsi="ArialMT" w:cs="ArialMT"/>
          <w:szCs w:val="22"/>
          <w:lang w:val="en-GB" w:eastAsia="en-GB" w:bidi="ar-SA"/>
        </w:rPr>
        <w:t xml:space="preserve">to </w:t>
      </w:r>
      <w:r w:rsidRPr="00552334">
        <w:rPr>
          <w:rFonts w:ascii="ArialMT" w:hAnsi="ArialMT" w:cs="ArialMT"/>
          <w:szCs w:val="22"/>
          <w:lang w:val="en-GB" w:eastAsia="en-GB" w:bidi="ar-SA"/>
        </w:rPr>
        <w:t>edible oil spreads</w:t>
      </w:r>
      <w:r w:rsidR="00F936C7">
        <w:rPr>
          <w:rFonts w:ascii="ArialMT" w:hAnsi="ArialMT" w:cs="ArialMT"/>
          <w:szCs w:val="22"/>
          <w:lang w:val="en-GB" w:eastAsia="en-GB" w:bidi="ar-SA"/>
        </w:rPr>
        <w:t>, cheese, low fat milk, yoghurt</w:t>
      </w:r>
      <w:r w:rsidRPr="00552334">
        <w:rPr>
          <w:rFonts w:ascii="ArialMT" w:hAnsi="ArialMT" w:cs="ArialMT"/>
          <w:szCs w:val="22"/>
          <w:lang w:val="en-GB" w:eastAsia="en-GB" w:bidi="ar-SA"/>
        </w:rPr>
        <w:t xml:space="preserve"> and breakfast cereals meet</w:t>
      </w:r>
      <w:r w:rsidR="00F936C7">
        <w:rPr>
          <w:rFonts w:ascii="ArialMT" w:hAnsi="ArialMT" w:cs="ArialMT"/>
          <w:szCs w:val="22"/>
          <w:lang w:val="en-GB" w:eastAsia="en-GB" w:bidi="ar-SA"/>
        </w:rPr>
        <w:t>ing</w:t>
      </w:r>
      <w:r w:rsidRPr="00552334">
        <w:rPr>
          <w:rFonts w:ascii="ArialMT" w:hAnsi="ArialMT" w:cs="ArialMT"/>
          <w:szCs w:val="22"/>
          <w:lang w:val="en-GB" w:eastAsia="en-GB" w:bidi="ar-SA"/>
        </w:rPr>
        <w:t xml:space="preserve"> </w:t>
      </w:r>
      <w:r w:rsidR="00F936C7">
        <w:rPr>
          <w:rFonts w:ascii="ArialMT" w:hAnsi="ArialMT" w:cs="ArialMT"/>
          <w:szCs w:val="22"/>
          <w:lang w:val="en-GB" w:eastAsia="en-GB" w:bidi="ar-SA"/>
        </w:rPr>
        <w:t>the</w:t>
      </w:r>
      <w:r w:rsidRPr="00552334">
        <w:rPr>
          <w:rFonts w:ascii="ArialMT" w:hAnsi="ArialMT" w:cs="ArialMT"/>
          <w:szCs w:val="22"/>
          <w:lang w:val="en-GB" w:eastAsia="en-GB" w:bidi="ar-SA"/>
        </w:rPr>
        <w:t xml:space="preserve"> sugar and fibre</w:t>
      </w:r>
      <w:r w:rsidR="00F936C7" w:rsidRPr="00F936C7">
        <w:rPr>
          <w:rFonts w:ascii="ArialMT" w:hAnsi="ArialMT" w:cs="ArialMT"/>
          <w:szCs w:val="22"/>
          <w:lang w:val="en-GB" w:eastAsia="en-GB" w:bidi="ar-SA"/>
        </w:rPr>
        <w:t xml:space="preserve"> </w:t>
      </w:r>
      <w:r w:rsidR="00F936C7" w:rsidRPr="00552334">
        <w:rPr>
          <w:rFonts w:ascii="ArialMT" w:hAnsi="ArialMT" w:cs="ArialMT"/>
          <w:szCs w:val="22"/>
          <w:lang w:val="en-GB" w:eastAsia="en-GB" w:bidi="ar-SA"/>
        </w:rPr>
        <w:t>criteria</w:t>
      </w:r>
      <w:r w:rsidRPr="00552334">
        <w:rPr>
          <w:rFonts w:ascii="ArialMT" w:hAnsi="ArialMT" w:cs="ArialMT"/>
          <w:szCs w:val="22"/>
          <w:lang w:val="en-GB" w:eastAsia="en-GB" w:bidi="ar-SA"/>
        </w:rPr>
        <w:t xml:space="preserve">. In Australia and New Zealand, </w:t>
      </w:r>
      <w:r w:rsidRPr="00962376">
        <w:rPr>
          <w:lang w:val="en-GB" w:eastAsia="en-AU" w:bidi="ar-SA"/>
        </w:rPr>
        <w:t>breakfast cereals are currently permitted to contain total plant sterol equivalents at a content that is no less than 15 g/kg and no more than 19 g/kg.</w:t>
      </w:r>
    </w:p>
    <w:p w14:paraId="09AFAE65" w14:textId="77777777" w:rsidR="007F1975" w:rsidRDefault="007F1975" w:rsidP="007F1975">
      <w:pPr>
        <w:widowControl/>
        <w:autoSpaceDE w:val="0"/>
        <w:autoSpaceDN w:val="0"/>
        <w:adjustRightInd w:val="0"/>
        <w:rPr>
          <w:lang w:val="en-GB"/>
        </w:rPr>
      </w:pPr>
    </w:p>
    <w:p w14:paraId="2D0D29AA" w14:textId="6229A558" w:rsidR="007F1975" w:rsidRPr="00962376" w:rsidRDefault="007F1975" w:rsidP="007F1975">
      <w:pPr>
        <w:widowControl/>
        <w:autoSpaceDE w:val="0"/>
        <w:autoSpaceDN w:val="0"/>
        <w:adjustRightInd w:val="0"/>
        <w:rPr>
          <w:lang w:val="en-GB"/>
        </w:rPr>
      </w:pPr>
      <w:r>
        <w:rPr>
          <w:lang w:val="en-GB"/>
        </w:rPr>
        <w:t>For the purpose of this report, p</w:t>
      </w:r>
      <w:r w:rsidRPr="00962376">
        <w:rPr>
          <w:lang w:val="en-GB"/>
        </w:rPr>
        <w:t>hytosterols, phytostanols and their esters are collectively referred to as plant sterols</w:t>
      </w:r>
      <w:r>
        <w:rPr>
          <w:lang w:val="en-GB"/>
        </w:rPr>
        <w:t xml:space="preserve">. The term </w:t>
      </w:r>
      <w:r w:rsidRPr="00962376">
        <w:rPr>
          <w:lang w:val="en-GB"/>
        </w:rPr>
        <w:t xml:space="preserve">total plant sterol equivalents </w:t>
      </w:r>
      <w:r>
        <w:rPr>
          <w:lang w:val="en-GB"/>
        </w:rPr>
        <w:t>includes</w:t>
      </w:r>
      <w:r w:rsidRPr="00962376">
        <w:rPr>
          <w:lang w:val="en-GB"/>
        </w:rPr>
        <w:t xml:space="preserve"> phytosterols and phytostanols (i.e. free form) as well as the hydrolysis products of their esters.</w:t>
      </w:r>
      <w:r w:rsidRPr="00552334">
        <w:rPr>
          <w:rFonts w:ascii="ArialMT" w:hAnsi="ArialMT" w:cs="ArialMT"/>
          <w:szCs w:val="22"/>
          <w:lang w:val="en-GB" w:eastAsia="en-GB" w:bidi="ar-SA"/>
        </w:rPr>
        <w:t xml:space="preserve"> </w:t>
      </w:r>
    </w:p>
    <w:p w14:paraId="78DC398A" w14:textId="77777777" w:rsidR="0051780C" w:rsidRPr="00962376" w:rsidRDefault="0051780C" w:rsidP="0051780C">
      <w:pPr>
        <w:rPr>
          <w:lang w:val="en-GB" w:eastAsia="en-AU" w:bidi="ar-SA"/>
        </w:rPr>
      </w:pPr>
    </w:p>
    <w:p w14:paraId="33986549" w14:textId="5F644475" w:rsidR="0051780C" w:rsidRPr="00962376" w:rsidRDefault="0051780C" w:rsidP="00F936C7">
      <w:pPr>
        <w:rPr>
          <w:lang w:val="en-GB"/>
        </w:rPr>
      </w:pPr>
      <w:r w:rsidRPr="00962376">
        <w:rPr>
          <w:lang w:val="en-GB" w:bidi="ar-SA"/>
        </w:rPr>
        <w:t xml:space="preserve">Adding plant sterols at higher levels than currently </w:t>
      </w:r>
      <w:r w:rsidR="00F936C7">
        <w:rPr>
          <w:lang w:val="en-GB" w:bidi="ar-SA"/>
        </w:rPr>
        <w:t>permitted in breakfast cereals has been</w:t>
      </w:r>
      <w:r w:rsidRPr="00962376">
        <w:rPr>
          <w:lang w:val="en-GB" w:bidi="ar-SA"/>
        </w:rPr>
        <w:t xml:space="preserve"> concluded to be technologically </w:t>
      </w:r>
      <w:r w:rsidR="00D5617A">
        <w:rPr>
          <w:lang w:val="en-GB" w:bidi="ar-SA"/>
        </w:rPr>
        <w:t>feasible</w:t>
      </w:r>
      <w:r w:rsidR="00D5617A" w:rsidRPr="00962376">
        <w:rPr>
          <w:lang w:val="en-GB" w:bidi="ar-SA"/>
        </w:rPr>
        <w:t xml:space="preserve"> </w:t>
      </w:r>
      <w:r w:rsidRPr="00962376">
        <w:rPr>
          <w:lang w:val="en-GB" w:bidi="ar-SA"/>
        </w:rPr>
        <w:t xml:space="preserve">as methods are available to incorporate them into such foods. There are analytical methods available and specifications already in the </w:t>
      </w:r>
      <w:r w:rsidRPr="00962376">
        <w:rPr>
          <w:i/>
          <w:lang w:val="en-GB" w:bidi="ar-SA"/>
        </w:rPr>
        <w:t>Australia New Zealand Food Standards Code</w:t>
      </w:r>
      <w:r w:rsidRPr="00962376">
        <w:rPr>
          <w:lang w:val="en-GB" w:bidi="ar-SA"/>
        </w:rPr>
        <w:t xml:space="preserve"> for plant sterols.</w:t>
      </w:r>
    </w:p>
    <w:p w14:paraId="787268A0" w14:textId="77777777" w:rsidR="0051780C" w:rsidRPr="00962376" w:rsidRDefault="0051780C" w:rsidP="0051780C">
      <w:pPr>
        <w:rPr>
          <w:lang w:val="en-GB" w:eastAsia="en-AU" w:bidi="ar-SA"/>
        </w:rPr>
      </w:pPr>
    </w:p>
    <w:p w14:paraId="5824AA6D" w14:textId="77777777" w:rsidR="0051780C" w:rsidRPr="00962376" w:rsidRDefault="0051780C" w:rsidP="0051780C">
      <w:pPr>
        <w:rPr>
          <w:lang w:val="en-GB" w:bidi="ar-SA"/>
        </w:rPr>
      </w:pPr>
      <w:r w:rsidRPr="00962376">
        <w:rPr>
          <w:rFonts w:cs="Arial"/>
          <w:szCs w:val="22"/>
          <w:lang w:val="en-GB"/>
        </w:rPr>
        <w:t>A</w:t>
      </w:r>
      <w:r w:rsidRPr="00962376">
        <w:rPr>
          <w:lang w:val="en-GB" w:bidi="ar-SA"/>
        </w:rPr>
        <w:t xml:space="preserve"> review of the recent literature has not identified evidence to alter the conclusion reached previously by FSANZ, that a specified Acceptable Daily Intake (ADI) is not justified for plant sterols for the general population. FSANZ has no toxicological concerns regarding the addition of plant sterols to breakfast cereals up to the concentrations proposed in the Application, for consumption by the general population. However, appropriate risk management measures are required for individuals with phytosterolaemia (sitosterolaemia).</w:t>
      </w:r>
    </w:p>
    <w:p w14:paraId="11AAEB72" w14:textId="77777777" w:rsidR="0051780C" w:rsidRPr="00962376" w:rsidRDefault="0051780C" w:rsidP="0051780C">
      <w:pPr>
        <w:rPr>
          <w:lang w:val="en-GB" w:eastAsia="en-AU" w:bidi="ar-SA"/>
        </w:rPr>
      </w:pPr>
    </w:p>
    <w:p w14:paraId="33E78197" w14:textId="77777777" w:rsidR="00724D8F" w:rsidRDefault="000E19C3" w:rsidP="000E19C3">
      <w:pPr>
        <w:rPr>
          <w:lang w:val="en-GB" w:eastAsia="en-AU" w:bidi="ar-SA"/>
        </w:rPr>
      </w:pPr>
      <w:r>
        <w:rPr>
          <w:lang w:val="en-GB" w:eastAsia="en-AU" w:bidi="ar-SA"/>
        </w:rPr>
        <w:t xml:space="preserve">Consuming </w:t>
      </w:r>
      <w:r w:rsidRPr="00962376">
        <w:rPr>
          <w:lang w:val="en-GB"/>
        </w:rPr>
        <w:t xml:space="preserve">total plant sterol equivalents </w:t>
      </w:r>
      <w:r w:rsidR="0051780C" w:rsidRPr="00962376">
        <w:rPr>
          <w:lang w:val="en-GB" w:eastAsia="en-AU" w:bidi="ar-SA"/>
        </w:rPr>
        <w:t>at doses between 0.8 and 2 g/day</w:t>
      </w:r>
      <w:r w:rsidR="00905B8E">
        <w:rPr>
          <w:rStyle w:val="FootnoteReference"/>
          <w:lang w:val="en-GB" w:eastAsia="en-AU" w:bidi="ar-SA"/>
        </w:rPr>
        <w:footnoteReference w:id="2"/>
      </w:r>
      <w:r w:rsidR="0051780C" w:rsidRPr="00962376">
        <w:rPr>
          <w:lang w:val="en-GB" w:eastAsia="en-AU" w:bidi="ar-SA"/>
        </w:rPr>
        <w:t xml:space="preserve"> has been shown to reduce total and low density lipoprotein (LDL) blood cholesterol concentrations without adversely affecting high density lipoprotein (HDL) cholesterol concentration. Dose-response models reliably predicted that a daily dose of 2 g/day of plant sterols reduce LDL blood cholesterol concentrations by 9%. </w:t>
      </w:r>
      <w:r w:rsidR="00724D8F">
        <w:rPr>
          <w:lang w:val="en-GB" w:eastAsia="en-AU" w:bidi="ar-SA"/>
        </w:rPr>
        <w:br w:type="page"/>
      </w:r>
    </w:p>
    <w:p w14:paraId="651731B4" w14:textId="34C63B8E" w:rsidR="0051780C" w:rsidRPr="00962376" w:rsidRDefault="0051780C" w:rsidP="000E19C3">
      <w:pPr>
        <w:rPr>
          <w:lang w:val="en-GB" w:eastAsia="en-AU" w:bidi="ar-SA"/>
        </w:rPr>
      </w:pPr>
      <w:r w:rsidRPr="00962376">
        <w:rPr>
          <w:lang w:val="en-GB" w:eastAsia="en-AU" w:bidi="ar-SA"/>
        </w:rPr>
        <w:lastRenderedPageBreak/>
        <w:t>For daily doses above 3 g/day, the models predict that the reduction in blood LDL concentration will approach an asymptotic value of 12.7%</w:t>
      </w:r>
      <w:r>
        <w:rPr>
          <w:lang w:val="en-GB" w:eastAsia="en-AU" w:bidi="ar-SA"/>
        </w:rPr>
        <w:t xml:space="preserve">. </w:t>
      </w:r>
      <w:r w:rsidRPr="00962376">
        <w:rPr>
          <w:lang w:val="en-GB" w:eastAsia="en-AU" w:bidi="ar-SA"/>
        </w:rPr>
        <w:t>P</w:t>
      </w:r>
      <w:r w:rsidRPr="00962376">
        <w:rPr>
          <w:lang w:val="en-GB"/>
        </w:rPr>
        <w:t xml:space="preserve">regnant and lactating women and children under 5 years of age do not need to lower their cholesterol levels because growing children and developing embryos have an increased need for cholesterol and, therefore, may not benefit from consuming </w:t>
      </w:r>
      <w:r w:rsidRPr="00962376">
        <w:rPr>
          <w:lang w:val="en-GB" w:eastAsia="en-AU" w:bidi="ar-SA"/>
        </w:rPr>
        <w:t>plant sterol</w:t>
      </w:r>
      <w:r w:rsidRPr="00962376">
        <w:rPr>
          <w:lang w:val="en-GB"/>
        </w:rPr>
        <w:t>-enriched foods.</w:t>
      </w:r>
    </w:p>
    <w:p w14:paraId="45DAB68F" w14:textId="77777777" w:rsidR="0051780C" w:rsidRPr="00962376" w:rsidRDefault="0051780C" w:rsidP="0051780C">
      <w:pPr>
        <w:rPr>
          <w:lang w:val="en-GB"/>
        </w:rPr>
      </w:pPr>
    </w:p>
    <w:p w14:paraId="64E5F98F" w14:textId="05BCA52C" w:rsidR="008F7AEC" w:rsidRDefault="0051780C" w:rsidP="0051780C">
      <w:pPr>
        <w:rPr>
          <w:lang w:val="en-GB"/>
        </w:rPr>
      </w:pPr>
      <w:r w:rsidRPr="00962376">
        <w:rPr>
          <w:lang w:val="en-GB" w:eastAsia="en-AU" w:bidi="ar-SA"/>
        </w:rPr>
        <w:t xml:space="preserve">There is currently no robust evidence to support the concerns that the consumption of plant sterols will increase the risk of </w:t>
      </w:r>
      <w:r w:rsidRPr="00962376">
        <w:rPr>
          <w:lang w:val="en-GB" w:bidi="ar-SA"/>
        </w:rPr>
        <w:t>cardiovascular disease</w:t>
      </w:r>
      <w:r w:rsidRPr="00962376">
        <w:rPr>
          <w:lang w:val="en-GB" w:eastAsia="en-AU" w:bidi="ar-SA"/>
        </w:rPr>
        <w:t xml:space="preserve"> or </w:t>
      </w:r>
      <w:r w:rsidRPr="00962376">
        <w:rPr>
          <w:lang w:val="en-GB" w:bidi="ar-SA"/>
        </w:rPr>
        <w:t xml:space="preserve">that the oxidation products of dietary plant sterols pose a risk to consumers. </w:t>
      </w:r>
      <w:r w:rsidRPr="00962376">
        <w:rPr>
          <w:lang w:val="en-GB"/>
        </w:rPr>
        <w:t>Some dietary intervention studies using plant sterols show a reduction in blood concentration of provitamin A carotenoids. These lipid-soluble phytochemicals are transported in blood by low density lipoprotein cholesterol, which is reduced by the intake of plant sterols</w:t>
      </w:r>
      <w:r>
        <w:rPr>
          <w:lang w:val="en-GB"/>
        </w:rPr>
        <w:t xml:space="preserve">. </w:t>
      </w:r>
      <w:r w:rsidRPr="00962376">
        <w:rPr>
          <w:lang w:val="en-GB"/>
        </w:rPr>
        <w:t>Consequently, the decrease in circulating amounts of carotenoids is not unexpected</w:t>
      </w:r>
      <w:r>
        <w:rPr>
          <w:lang w:val="en-GB"/>
        </w:rPr>
        <w:t xml:space="preserve">. </w:t>
      </w:r>
      <w:r w:rsidR="00F50C01">
        <w:rPr>
          <w:lang w:val="en-GB"/>
        </w:rPr>
        <w:t>A</w:t>
      </w:r>
      <w:r w:rsidRPr="00547FB5">
        <w:rPr>
          <w:lang w:val="en-GB"/>
        </w:rPr>
        <w:t xml:space="preserve">fter adjusting for the change in total blood cholesterol concentration </w:t>
      </w:r>
      <w:r w:rsidRPr="00547FB5">
        <w:rPr>
          <w:rFonts w:cs="Arial"/>
          <w:lang w:val="en-GB"/>
        </w:rPr>
        <w:t>β</w:t>
      </w:r>
      <w:r w:rsidRPr="00547FB5">
        <w:rPr>
          <w:lang w:val="en-GB"/>
        </w:rPr>
        <w:t>-carotene is the only carotenoid whose concentration remains significantly different from the control group value. However, it should be noted that the blood concentrations of carotenoids of subjects consuming plant sterols remain within the broad natural</w:t>
      </w:r>
      <w:r w:rsidR="008F7AEC">
        <w:rPr>
          <w:lang w:val="en-GB"/>
        </w:rPr>
        <w:t xml:space="preserve"> range of variation.</w:t>
      </w:r>
    </w:p>
    <w:p w14:paraId="79CB3392" w14:textId="77777777" w:rsidR="008F7AEC" w:rsidRDefault="008F7AEC" w:rsidP="0051780C">
      <w:pPr>
        <w:rPr>
          <w:lang w:val="en-GB"/>
        </w:rPr>
      </w:pPr>
    </w:p>
    <w:p w14:paraId="2C16D141" w14:textId="1C0743F1" w:rsidR="0051780C" w:rsidRPr="00547FB5" w:rsidRDefault="0051780C" w:rsidP="00F936C7">
      <w:pPr>
        <w:rPr>
          <w:lang w:val="en-GB"/>
        </w:rPr>
      </w:pPr>
      <w:r w:rsidRPr="00547FB5">
        <w:rPr>
          <w:lang w:val="en-GB"/>
        </w:rPr>
        <w:t>Clinical studies in which up to 9 g</w:t>
      </w:r>
      <w:r w:rsidR="00F84F52">
        <w:rPr>
          <w:lang w:val="en-GB"/>
        </w:rPr>
        <w:t>/day of</w:t>
      </w:r>
      <w:r w:rsidRPr="00547FB5">
        <w:rPr>
          <w:lang w:val="en-GB"/>
        </w:rPr>
        <w:t xml:space="preserve"> </w:t>
      </w:r>
      <w:r w:rsidR="00C7785E" w:rsidRPr="00962376">
        <w:rPr>
          <w:lang w:val="en-GB"/>
        </w:rPr>
        <w:t xml:space="preserve">total plant sterol equivalents </w:t>
      </w:r>
      <w:r w:rsidRPr="00547FB5">
        <w:rPr>
          <w:lang w:val="en-GB"/>
        </w:rPr>
        <w:t>were tested in adult</w:t>
      </w:r>
      <w:r w:rsidR="00F936C7">
        <w:rPr>
          <w:lang w:val="en-GB"/>
        </w:rPr>
        <w:t>s</w:t>
      </w:r>
      <w:r w:rsidRPr="00547FB5">
        <w:rPr>
          <w:lang w:val="en-GB"/>
        </w:rPr>
        <w:t xml:space="preserve"> did not show statistically significant changes in fat-soluble vitamins. Clinical studies in which up to daily doses of 6 g of </w:t>
      </w:r>
      <w:r w:rsidR="00C7785E" w:rsidRPr="00962376">
        <w:rPr>
          <w:lang w:val="en-GB"/>
        </w:rPr>
        <w:t xml:space="preserve">total plant sterol equivalents </w:t>
      </w:r>
      <w:r w:rsidRPr="00547FB5">
        <w:rPr>
          <w:lang w:val="en-GB"/>
        </w:rPr>
        <w:t xml:space="preserve">were consumed by children (2-17 years of age) for up to six months demonstrate that total and LDL cholesterol concentrations are significantly decreased without affecting HDL concentrations and show no evidence of a nutritional safety risk. Similarly, consumption of 0.7 g and 0.8 g of </w:t>
      </w:r>
      <w:r w:rsidR="00C7785E" w:rsidRPr="00962376">
        <w:rPr>
          <w:lang w:val="en-GB"/>
        </w:rPr>
        <w:t>total plant sterol equivalents</w:t>
      </w:r>
      <w:r w:rsidRPr="00547FB5">
        <w:rPr>
          <w:lang w:val="en-GB"/>
        </w:rPr>
        <w:t xml:space="preserve"> during pregnancy and one-month post-partum, respectively, did not show evidence of a nutritional safety concern for both the women and their infants and did not significantly decrease maternal total or LDL cholesterol concentrations</w:t>
      </w:r>
      <w:r>
        <w:rPr>
          <w:lang w:val="en-GB"/>
        </w:rPr>
        <w:t xml:space="preserve">. </w:t>
      </w:r>
      <w:r w:rsidRPr="00547FB5">
        <w:rPr>
          <w:lang w:val="en-GB"/>
        </w:rPr>
        <w:t>The clinical evidence indicates that consumption of</w:t>
      </w:r>
      <w:r w:rsidR="00C17967">
        <w:rPr>
          <w:lang w:val="en-GB"/>
        </w:rPr>
        <w:t xml:space="preserve"> up to approximately</w:t>
      </w:r>
      <w:r w:rsidRPr="00547FB5">
        <w:rPr>
          <w:lang w:val="en-GB"/>
        </w:rPr>
        <w:t xml:space="preserve"> </w:t>
      </w:r>
      <w:r w:rsidR="00C7785E">
        <w:rPr>
          <w:lang w:val="en-GB"/>
        </w:rPr>
        <w:t>9</w:t>
      </w:r>
      <w:r w:rsidRPr="00547FB5">
        <w:rPr>
          <w:lang w:val="en-GB"/>
        </w:rPr>
        <w:t xml:space="preserve"> g/day of total plant sterol equivalents is unlikely to pose a nutritional safety concern for children and adults.</w:t>
      </w:r>
    </w:p>
    <w:p w14:paraId="02666FB4" w14:textId="77777777" w:rsidR="0051780C" w:rsidRPr="00547FB5" w:rsidRDefault="0051780C" w:rsidP="0051780C">
      <w:pPr>
        <w:rPr>
          <w:lang w:val="en-GB"/>
        </w:rPr>
      </w:pPr>
    </w:p>
    <w:p w14:paraId="416C5707" w14:textId="05AF3AC3" w:rsidR="000E6116" w:rsidRDefault="0051780C" w:rsidP="0051780C">
      <w:pPr>
        <w:rPr>
          <w:lang w:val="en-GB"/>
        </w:rPr>
      </w:pPr>
      <w:r w:rsidRPr="00547FB5">
        <w:rPr>
          <w:lang w:val="en-GB"/>
        </w:rPr>
        <w:t xml:space="preserve">The </w:t>
      </w:r>
      <w:r>
        <w:rPr>
          <w:lang w:val="en-GB"/>
        </w:rPr>
        <w:t>d</w:t>
      </w:r>
      <w:r w:rsidRPr="00547FB5">
        <w:rPr>
          <w:lang w:val="en-GB"/>
        </w:rPr>
        <w:t xml:space="preserve">ietary </w:t>
      </w:r>
      <w:r>
        <w:rPr>
          <w:lang w:val="en-GB"/>
        </w:rPr>
        <w:t>e</w:t>
      </w:r>
      <w:r w:rsidRPr="00547FB5">
        <w:rPr>
          <w:lang w:val="en-GB"/>
        </w:rPr>
        <w:t xml:space="preserve">xposure </w:t>
      </w:r>
      <w:r>
        <w:rPr>
          <w:lang w:val="en-GB"/>
        </w:rPr>
        <w:t>a</w:t>
      </w:r>
      <w:r w:rsidRPr="00547FB5">
        <w:rPr>
          <w:lang w:val="en-GB"/>
        </w:rPr>
        <w:t xml:space="preserve">ssessment (DEA) used two approaches to estimate plant sterol exposure from breakfast cereals containing added plant sterols. The first approach estimated total dietary exposure based on consumption of foods with existing permissions to add plant sterols </w:t>
      </w:r>
      <w:r w:rsidR="00BB0475">
        <w:rPr>
          <w:lang w:val="en-GB"/>
        </w:rPr>
        <w:t>(i.e. the baseline exposure</w:t>
      </w:r>
      <w:r w:rsidR="006B5C39">
        <w:rPr>
          <w:lang w:val="en-GB"/>
        </w:rPr>
        <w:t>,</w:t>
      </w:r>
      <w:r w:rsidR="006B5C39" w:rsidRPr="006B5C39">
        <w:rPr>
          <w:color w:val="FF0000"/>
          <w:lang w:val="en-GB"/>
        </w:rPr>
        <w:t xml:space="preserve"> </w:t>
      </w:r>
      <w:r w:rsidR="006B5C39" w:rsidRPr="006B5C39">
        <w:rPr>
          <w:lang w:val="en-GB"/>
        </w:rPr>
        <w:t>estimated from the consumption of plant sterol-containing foods as reported in recent National Nutrition Surveys for Australian and New Zealand populations</w:t>
      </w:r>
      <w:r w:rsidR="00BB0475">
        <w:rPr>
          <w:lang w:val="en-GB"/>
        </w:rPr>
        <w:t xml:space="preserve">) </w:t>
      </w:r>
      <w:r w:rsidRPr="00547FB5">
        <w:rPr>
          <w:lang w:val="en-GB"/>
        </w:rPr>
        <w:t xml:space="preserve">and consumption of a </w:t>
      </w:r>
      <w:r w:rsidR="005F6B4F">
        <w:rPr>
          <w:lang w:val="en-GB"/>
        </w:rPr>
        <w:t>serving</w:t>
      </w:r>
      <w:r w:rsidRPr="00547FB5">
        <w:rPr>
          <w:lang w:val="en-GB"/>
        </w:rPr>
        <w:t xml:space="preserve"> of breakfast cereal per day containing 2.2 g of plant sterols per </w:t>
      </w:r>
      <w:r w:rsidR="005F6B4F">
        <w:rPr>
          <w:lang w:val="en-GB"/>
        </w:rPr>
        <w:t>serving</w:t>
      </w:r>
      <w:r w:rsidRPr="00547FB5">
        <w:rPr>
          <w:lang w:val="en-GB"/>
        </w:rPr>
        <w:t>. Across all surveys and age groups assessed for Australian (aged 2 years and over) and New Zealand (aged 15 years and over) populations, the total estimated dietary exposures to plant sterols by this approach were 2.7–4.0 g/day and 3.0–5.1 g/day for the mean and 90</w:t>
      </w:r>
      <w:r w:rsidR="00FF1122">
        <w:rPr>
          <w:lang w:val="en-GB"/>
        </w:rPr>
        <w:t xml:space="preserve">th percentile (P90) </w:t>
      </w:r>
      <w:r w:rsidRPr="00547FB5">
        <w:rPr>
          <w:lang w:val="en-GB"/>
        </w:rPr>
        <w:t xml:space="preserve">exposures, respectively, expressed as plant sterol equivalents. </w:t>
      </w:r>
    </w:p>
    <w:p w14:paraId="44E4A3C3" w14:textId="77777777" w:rsidR="000E6116" w:rsidRDefault="000E6116" w:rsidP="0051780C">
      <w:pPr>
        <w:rPr>
          <w:lang w:val="en-GB"/>
        </w:rPr>
      </w:pPr>
    </w:p>
    <w:p w14:paraId="41462A93" w14:textId="77777777" w:rsidR="00724D8F" w:rsidRDefault="0051780C" w:rsidP="0051780C">
      <w:pPr>
        <w:rPr>
          <w:lang w:val="en-GB"/>
        </w:rPr>
      </w:pPr>
      <w:r w:rsidRPr="00547FB5">
        <w:rPr>
          <w:lang w:val="en-GB"/>
        </w:rPr>
        <w:t>The second approach used a scenario model to estimate chronic plant sterol exposure</w:t>
      </w:r>
      <w:r w:rsidR="00BB0475">
        <w:rPr>
          <w:lang w:val="en-GB"/>
        </w:rPr>
        <w:t xml:space="preserve"> based on baseline exposure and exposure from breakfast cereal consumption.</w:t>
      </w:r>
      <w:r w:rsidRPr="00547FB5">
        <w:rPr>
          <w:lang w:val="en-GB"/>
        </w:rPr>
        <w:t xml:space="preserve"> </w:t>
      </w:r>
      <w:r w:rsidR="00BB0475">
        <w:rPr>
          <w:lang w:val="en-GB"/>
        </w:rPr>
        <w:t xml:space="preserve">The scenario </w:t>
      </w:r>
      <w:r w:rsidRPr="00547FB5">
        <w:rPr>
          <w:lang w:val="en-GB"/>
        </w:rPr>
        <w:t>assum</w:t>
      </w:r>
      <w:r w:rsidR="00BB0475">
        <w:rPr>
          <w:lang w:val="en-GB"/>
        </w:rPr>
        <w:t xml:space="preserve">ed </w:t>
      </w:r>
      <w:r w:rsidRPr="00547FB5">
        <w:rPr>
          <w:lang w:val="en-GB"/>
        </w:rPr>
        <w:t xml:space="preserve">all breakfast cereals </w:t>
      </w:r>
      <w:r w:rsidR="00BD44B6">
        <w:rPr>
          <w:lang w:val="en-GB"/>
        </w:rPr>
        <w:t>meeting th</w:t>
      </w:r>
      <w:r w:rsidR="00642413">
        <w:rPr>
          <w:lang w:val="en-GB"/>
        </w:rPr>
        <w:t>e</w:t>
      </w:r>
      <w:r w:rsidR="00BD44B6">
        <w:rPr>
          <w:lang w:val="en-GB"/>
        </w:rPr>
        <w:t xml:space="preserve"> specified nutrient criteria </w:t>
      </w:r>
      <w:r w:rsidRPr="00547FB5">
        <w:rPr>
          <w:lang w:val="en-GB"/>
        </w:rPr>
        <w:t xml:space="preserve">contained plant sterols at the proposed maximum amount of 2.2 g/serve. </w:t>
      </w:r>
      <w:r w:rsidR="00BB0475" w:rsidRPr="00BB0475">
        <w:rPr>
          <w:lang w:val="en-GB"/>
        </w:rPr>
        <w:t xml:space="preserve">This </w:t>
      </w:r>
      <w:r w:rsidR="00BB0475">
        <w:rPr>
          <w:lang w:val="en-GB"/>
        </w:rPr>
        <w:t>exposure estimate represented</w:t>
      </w:r>
      <w:r w:rsidR="00BB0475" w:rsidRPr="00BB0475">
        <w:rPr>
          <w:lang w:val="en-GB"/>
        </w:rPr>
        <w:t xml:space="preserve"> a </w:t>
      </w:r>
      <w:r w:rsidR="007A1A7D">
        <w:rPr>
          <w:lang w:val="en-GB"/>
        </w:rPr>
        <w:t xml:space="preserve">conservative estimate </w:t>
      </w:r>
      <w:r w:rsidR="00BB0475" w:rsidRPr="00BB0475">
        <w:rPr>
          <w:lang w:val="en-GB"/>
        </w:rPr>
        <w:t xml:space="preserve">since it assumed that persons who reported consuming breakfast cereal in the survey would consume the same amount of cereal </w:t>
      </w:r>
      <w:r w:rsidR="00301434">
        <w:rPr>
          <w:lang w:val="en-GB"/>
        </w:rPr>
        <w:t>if it contained</w:t>
      </w:r>
      <w:r w:rsidR="00BB0475" w:rsidRPr="00BB0475">
        <w:rPr>
          <w:lang w:val="en-GB"/>
        </w:rPr>
        <w:t xml:space="preserve"> added plant sterols at the proposed maximum amount. </w:t>
      </w:r>
      <w:r w:rsidR="005449E1">
        <w:rPr>
          <w:lang w:val="en-GB"/>
        </w:rPr>
        <w:t xml:space="preserve">This scenario accounts for the brand loyal consumer. </w:t>
      </w:r>
      <w:r w:rsidRPr="00547FB5">
        <w:rPr>
          <w:lang w:val="en-GB"/>
        </w:rPr>
        <w:t>The total estimated dietary exposures to plant sterols for Australian consumers aged 2 years and above w</w:t>
      </w:r>
      <w:r w:rsidR="00BB0475">
        <w:rPr>
          <w:lang w:val="en-GB"/>
        </w:rPr>
        <w:t>ere</w:t>
      </w:r>
      <w:r w:rsidRPr="00547FB5">
        <w:rPr>
          <w:lang w:val="en-GB"/>
        </w:rPr>
        <w:t xml:space="preserve"> 3.2 g/day a</w:t>
      </w:r>
      <w:r w:rsidR="00AA2853">
        <w:rPr>
          <w:lang w:val="en-GB"/>
        </w:rPr>
        <w:t>nd 6.4</w:t>
      </w:r>
      <w:r w:rsidRPr="00547FB5">
        <w:rPr>
          <w:lang w:val="en-GB"/>
        </w:rPr>
        <w:t xml:space="preserve"> g/day for the mean and P90 exposures, respectively, expressed as </w:t>
      </w:r>
      <w:r w:rsidR="009B23B9">
        <w:rPr>
          <w:lang w:val="en-GB"/>
        </w:rPr>
        <w:t xml:space="preserve">total </w:t>
      </w:r>
      <w:r w:rsidRPr="00547FB5">
        <w:rPr>
          <w:lang w:val="en-GB"/>
        </w:rPr>
        <w:t xml:space="preserve">plant sterol equivalents. </w:t>
      </w:r>
      <w:r w:rsidR="00642413">
        <w:rPr>
          <w:lang w:val="en-GB"/>
        </w:rPr>
        <w:t>U</w:t>
      </w:r>
      <w:r w:rsidRPr="00547FB5">
        <w:rPr>
          <w:lang w:val="en-GB"/>
        </w:rPr>
        <w:t xml:space="preserve">sing this </w:t>
      </w:r>
      <w:r w:rsidR="00155BFD">
        <w:rPr>
          <w:lang w:val="en-GB"/>
        </w:rPr>
        <w:t>conservative</w:t>
      </w:r>
      <w:r w:rsidRPr="00547FB5">
        <w:rPr>
          <w:lang w:val="en-GB"/>
        </w:rPr>
        <w:t xml:space="preserve"> approach, </w:t>
      </w:r>
      <w:r w:rsidR="00155BFD">
        <w:rPr>
          <w:lang w:val="en-GB"/>
        </w:rPr>
        <w:t xml:space="preserve">it was predicted that </w:t>
      </w:r>
      <w:r w:rsidR="00BB2EAA">
        <w:rPr>
          <w:lang w:val="en-GB"/>
        </w:rPr>
        <w:t>about 2%</w:t>
      </w:r>
      <w:r w:rsidRPr="00547FB5">
        <w:rPr>
          <w:lang w:val="en-GB"/>
        </w:rPr>
        <w:t xml:space="preserve"> of the population </w:t>
      </w:r>
      <w:r w:rsidR="00BB2EAA">
        <w:rPr>
          <w:lang w:val="en-GB"/>
        </w:rPr>
        <w:t>aged 2 years and up</w:t>
      </w:r>
      <w:r w:rsidRPr="00547FB5">
        <w:rPr>
          <w:lang w:val="en-GB"/>
        </w:rPr>
        <w:t xml:space="preserve"> would be exposed to more than </w:t>
      </w:r>
      <w:r w:rsidR="00BB2EAA">
        <w:rPr>
          <w:lang w:val="en-GB"/>
        </w:rPr>
        <w:t>9</w:t>
      </w:r>
      <w:r w:rsidRPr="00547FB5">
        <w:rPr>
          <w:lang w:val="en-GB"/>
        </w:rPr>
        <w:t xml:space="preserve"> g/day of added dietary total plant sterol equivalents, an amount that has been shown in humans to cause no adverse health effects. </w:t>
      </w:r>
      <w:r w:rsidR="00724D8F">
        <w:rPr>
          <w:lang w:val="en-GB"/>
        </w:rPr>
        <w:br w:type="page"/>
      </w:r>
    </w:p>
    <w:p w14:paraId="2ED7EBA3" w14:textId="5AF3425F" w:rsidR="0051780C" w:rsidRPr="00547FB5" w:rsidRDefault="0051780C" w:rsidP="0051780C">
      <w:pPr>
        <w:rPr>
          <w:lang w:val="en-GB"/>
        </w:rPr>
      </w:pPr>
      <w:r w:rsidRPr="00547FB5">
        <w:rPr>
          <w:lang w:val="en-GB"/>
        </w:rPr>
        <w:lastRenderedPageBreak/>
        <w:t>Occasional ingestion of plant sterols at these levels is unlikely to pose any safety concerns</w:t>
      </w:r>
      <w:r w:rsidR="00355142">
        <w:rPr>
          <w:lang w:val="en-GB"/>
        </w:rPr>
        <w:t xml:space="preserve">. </w:t>
      </w:r>
    </w:p>
    <w:p w14:paraId="2C779C3E" w14:textId="77777777" w:rsidR="0051780C" w:rsidRPr="00547FB5" w:rsidRDefault="0051780C" w:rsidP="0051780C">
      <w:pPr>
        <w:rPr>
          <w:lang w:val="en-GB"/>
        </w:rPr>
      </w:pPr>
    </w:p>
    <w:p w14:paraId="03B1C0B5" w14:textId="77777777" w:rsidR="0051780C" w:rsidRPr="00547FB5" w:rsidRDefault="0051780C" w:rsidP="0051780C">
      <w:pPr>
        <w:rPr>
          <w:lang w:val="en-GB" w:eastAsia="en-AU" w:bidi="ar-SA"/>
        </w:rPr>
      </w:pPr>
      <w:r w:rsidRPr="00547FB5">
        <w:rPr>
          <w:lang w:val="en-GB" w:eastAsia="en-AU" w:bidi="ar-SA"/>
        </w:rPr>
        <w:t>Overall, the available data for plant sterols are considered to provide a high level of confidence in the safety and suitability of plant sterol fortified breakfast cereal products at the proposed maximum concentration, for all population groups.</w:t>
      </w:r>
    </w:p>
    <w:p w14:paraId="553A8C7C" w14:textId="77777777" w:rsidR="0051780C" w:rsidRPr="00547FB5" w:rsidRDefault="0051780C" w:rsidP="0051780C">
      <w:pPr>
        <w:rPr>
          <w:lang w:val="en-GB" w:eastAsia="en-AU" w:bidi="ar-SA"/>
        </w:rPr>
      </w:pPr>
    </w:p>
    <w:p w14:paraId="422C5BBF" w14:textId="77777777" w:rsidR="0051780C" w:rsidRPr="00547FB5" w:rsidRDefault="0051780C" w:rsidP="0051780C">
      <w:pPr>
        <w:rPr>
          <w:rFonts w:cs="Arial"/>
          <w:szCs w:val="22"/>
          <w:lang w:val="en-GB"/>
        </w:rPr>
        <w:sectPr w:rsidR="0051780C" w:rsidRPr="00547FB5" w:rsidSect="00724D8F">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21B7234A" w14:textId="77777777" w:rsidR="00997D23" w:rsidRPr="00997D23" w:rsidRDefault="00997D23" w:rsidP="00724D8F">
      <w:pPr>
        <w:keepNext/>
        <w:spacing w:after="240"/>
        <w:ind w:left="851" w:hanging="851"/>
        <w:jc w:val="center"/>
        <w:rPr>
          <w:bCs/>
          <w:sz w:val="32"/>
          <w:szCs w:val="28"/>
          <w:lang w:val="en-GB" w:bidi="ar-SA"/>
        </w:rPr>
      </w:pPr>
      <w:r w:rsidRPr="00997D23">
        <w:rPr>
          <w:bCs/>
          <w:sz w:val="32"/>
          <w:szCs w:val="28"/>
          <w:lang w:val="en-GB" w:bidi="ar-SA"/>
        </w:rPr>
        <w:lastRenderedPageBreak/>
        <w:t>Table of contents</w:t>
      </w:r>
    </w:p>
    <w:p w14:paraId="24D17E39" w14:textId="77777777" w:rsidR="00724D8F" w:rsidRPr="00724D8F" w:rsidRDefault="0051780C">
      <w:pPr>
        <w:pStyle w:val="TOC1"/>
        <w:tabs>
          <w:tab w:val="right" w:leader="dot" w:pos="9060"/>
        </w:tabs>
        <w:rPr>
          <w:rFonts w:eastAsiaTheme="minorEastAsia" w:cstheme="minorBidi"/>
          <w:b w:val="0"/>
          <w:bCs w:val="0"/>
          <w:caps w:val="0"/>
          <w:noProof/>
          <w:lang w:val="en-GB" w:eastAsia="en-GB" w:bidi="ar-SA"/>
        </w:rPr>
      </w:pPr>
      <w:r w:rsidRPr="00724D8F">
        <w:rPr>
          <w:rFonts w:ascii="Arial" w:hAnsi="Arial" w:cs="Arial"/>
          <w:lang w:val="en-GB"/>
        </w:rPr>
        <w:fldChar w:fldCharType="begin"/>
      </w:r>
      <w:r w:rsidRPr="00724D8F">
        <w:rPr>
          <w:rFonts w:ascii="Arial" w:hAnsi="Arial" w:cs="Arial"/>
          <w:lang w:val="en-GB"/>
        </w:rPr>
        <w:instrText xml:space="preserve"> TOC \o "1-3" \h \z \u </w:instrText>
      </w:r>
      <w:r w:rsidRPr="00724D8F">
        <w:rPr>
          <w:rFonts w:ascii="Arial" w:hAnsi="Arial" w:cs="Arial"/>
          <w:lang w:val="en-GB"/>
        </w:rPr>
        <w:fldChar w:fldCharType="separate"/>
      </w:r>
      <w:hyperlink w:anchor="_Toc477274197" w:history="1">
        <w:r w:rsidR="00724D8F" w:rsidRPr="00724D8F">
          <w:rPr>
            <w:rStyle w:val="Hyperlink"/>
            <w:noProof/>
          </w:rPr>
          <w:t>Executive summary</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_Toc477274197 \h </w:instrText>
        </w:r>
        <w:r w:rsidR="00724D8F" w:rsidRPr="00724D8F">
          <w:rPr>
            <w:noProof/>
            <w:webHidden/>
          </w:rPr>
        </w:r>
        <w:r w:rsidR="00724D8F" w:rsidRPr="00724D8F">
          <w:rPr>
            <w:noProof/>
            <w:webHidden/>
          </w:rPr>
          <w:fldChar w:fldCharType="separate"/>
        </w:r>
        <w:r w:rsidR="007A55E8">
          <w:rPr>
            <w:noProof/>
            <w:webHidden/>
          </w:rPr>
          <w:t>i</w:t>
        </w:r>
        <w:r w:rsidR="00724D8F" w:rsidRPr="00724D8F">
          <w:rPr>
            <w:noProof/>
            <w:webHidden/>
          </w:rPr>
          <w:fldChar w:fldCharType="end"/>
        </w:r>
      </w:hyperlink>
    </w:p>
    <w:p w14:paraId="13E42275" w14:textId="77777777"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198" w:history="1">
        <w:r w:rsidR="00724D8F" w:rsidRPr="00724D8F">
          <w:rPr>
            <w:rStyle w:val="Hyperlink"/>
            <w:noProof/>
          </w:rPr>
          <w:t>1</w:t>
        </w:r>
        <w:r w:rsidR="00724D8F" w:rsidRPr="00724D8F">
          <w:rPr>
            <w:rFonts w:eastAsiaTheme="minorEastAsia" w:cstheme="minorBidi"/>
            <w:b w:val="0"/>
            <w:bCs w:val="0"/>
            <w:caps w:val="0"/>
            <w:noProof/>
            <w:lang w:val="en-GB" w:eastAsia="en-GB" w:bidi="ar-SA"/>
          </w:rPr>
          <w:tab/>
        </w:r>
        <w:r w:rsidR="00724D8F" w:rsidRPr="00724D8F">
          <w:rPr>
            <w:rStyle w:val="Hyperlink"/>
            <w:noProof/>
          </w:rPr>
          <w:t>Introduction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_Toc477274198 \h </w:instrText>
        </w:r>
        <w:r w:rsidR="00724D8F" w:rsidRPr="00724D8F">
          <w:rPr>
            <w:noProof/>
            <w:webHidden/>
          </w:rPr>
        </w:r>
        <w:r w:rsidR="00724D8F" w:rsidRPr="00724D8F">
          <w:rPr>
            <w:noProof/>
            <w:webHidden/>
          </w:rPr>
          <w:fldChar w:fldCharType="separate"/>
        </w:r>
        <w:r w:rsidR="007A55E8">
          <w:rPr>
            <w:noProof/>
            <w:webHidden/>
          </w:rPr>
          <w:t>3</w:t>
        </w:r>
        <w:r w:rsidR="00724D8F" w:rsidRPr="00724D8F">
          <w:rPr>
            <w:noProof/>
            <w:webHidden/>
          </w:rPr>
          <w:fldChar w:fldCharType="end"/>
        </w:r>
      </w:hyperlink>
    </w:p>
    <w:p w14:paraId="320A9C80" w14:textId="77777777"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199" w:history="1">
        <w:r w:rsidR="00724D8F" w:rsidRPr="00724D8F">
          <w:rPr>
            <w:rStyle w:val="Hyperlink"/>
            <w:noProof/>
          </w:rPr>
          <w:t>2</w:t>
        </w:r>
        <w:r w:rsidR="00724D8F" w:rsidRPr="00724D8F">
          <w:rPr>
            <w:rFonts w:eastAsiaTheme="minorEastAsia" w:cstheme="minorBidi"/>
            <w:b w:val="0"/>
            <w:bCs w:val="0"/>
            <w:caps w:val="0"/>
            <w:noProof/>
            <w:lang w:val="en-GB" w:eastAsia="en-GB" w:bidi="ar-SA"/>
          </w:rPr>
          <w:tab/>
        </w:r>
        <w:r w:rsidR="00724D8F" w:rsidRPr="00724D8F">
          <w:rPr>
            <w:rStyle w:val="Hyperlink"/>
            <w:noProof/>
          </w:rPr>
          <w:t>Food technology assessment</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_Toc477274199 \h </w:instrText>
        </w:r>
        <w:r w:rsidR="00724D8F" w:rsidRPr="00724D8F">
          <w:rPr>
            <w:noProof/>
            <w:webHidden/>
          </w:rPr>
        </w:r>
        <w:r w:rsidR="00724D8F" w:rsidRPr="00724D8F">
          <w:rPr>
            <w:noProof/>
            <w:webHidden/>
          </w:rPr>
          <w:fldChar w:fldCharType="separate"/>
        </w:r>
        <w:r w:rsidR="007A55E8">
          <w:rPr>
            <w:noProof/>
            <w:webHidden/>
          </w:rPr>
          <w:t>3</w:t>
        </w:r>
        <w:r w:rsidR="00724D8F" w:rsidRPr="00724D8F">
          <w:rPr>
            <w:noProof/>
            <w:webHidden/>
          </w:rPr>
          <w:fldChar w:fldCharType="end"/>
        </w:r>
      </w:hyperlink>
    </w:p>
    <w:p w14:paraId="5C22A49A"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00" w:history="1">
        <w:r w:rsidR="00724D8F" w:rsidRPr="00724D8F">
          <w:rPr>
            <w:rStyle w:val="Hyperlink"/>
            <w:noProof/>
          </w:rPr>
          <w:t>2.1</w:t>
        </w:r>
        <w:r w:rsidR="00724D8F" w:rsidRPr="00724D8F">
          <w:rPr>
            <w:rFonts w:eastAsiaTheme="minorEastAsia" w:cstheme="minorBidi"/>
            <w:smallCaps w:val="0"/>
            <w:noProof/>
            <w:lang w:val="en-GB" w:eastAsia="en-GB" w:bidi="ar-SA"/>
          </w:rPr>
          <w:tab/>
        </w:r>
        <w:r w:rsidR="00724D8F" w:rsidRPr="00724D8F">
          <w:rPr>
            <w:rStyle w:val="Hyperlink"/>
            <w:noProof/>
          </w:rPr>
          <w:t>Description of substance</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_Toc477274200 \h </w:instrText>
        </w:r>
        <w:r w:rsidR="00724D8F" w:rsidRPr="00724D8F">
          <w:rPr>
            <w:noProof/>
            <w:webHidden/>
          </w:rPr>
        </w:r>
        <w:r w:rsidR="00724D8F" w:rsidRPr="00724D8F">
          <w:rPr>
            <w:noProof/>
            <w:webHidden/>
          </w:rPr>
          <w:fldChar w:fldCharType="separate"/>
        </w:r>
        <w:r w:rsidR="007A55E8">
          <w:rPr>
            <w:noProof/>
            <w:webHidden/>
          </w:rPr>
          <w:t>3</w:t>
        </w:r>
        <w:r w:rsidR="00724D8F" w:rsidRPr="00724D8F">
          <w:rPr>
            <w:noProof/>
            <w:webHidden/>
          </w:rPr>
          <w:fldChar w:fldCharType="end"/>
        </w:r>
      </w:hyperlink>
    </w:p>
    <w:p w14:paraId="38119A70"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01" w:history="1">
        <w:r w:rsidR="00724D8F" w:rsidRPr="00724D8F">
          <w:rPr>
            <w:rStyle w:val="Hyperlink"/>
            <w:noProof/>
          </w:rPr>
          <w:t>2.1.1</w:t>
        </w:r>
        <w:r w:rsidR="00724D8F" w:rsidRPr="00724D8F">
          <w:rPr>
            <w:rFonts w:eastAsiaTheme="minorEastAsia" w:cstheme="minorBidi"/>
            <w:i w:val="0"/>
            <w:iCs w:val="0"/>
            <w:noProof/>
            <w:lang w:val="en-GB" w:eastAsia="en-GB" w:bidi="ar-SA"/>
          </w:rPr>
          <w:tab/>
        </w:r>
        <w:r w:rsidR="00724D8F" w:rsidRPr="00724D8F">
          <w:rPr>
            <w:rStyle w:val="Hyperlink"/>
            <w:noProof/>
          </w:rPr>
          <w:t>Identity</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_Toc477274201 \h </w:instrText>
        </w:r>
        <w:r w:rsidR="00724D8F" w:rsidRPr="00724D8F">
          <w:rPr>
            <w:noProof/>
            <w:webHidden/>
          </w:rPr>
        </w:r>
        <w:r w:rsidR="00724D8F" w:rsidRPr="00724D8F">
          <w:rPr>
            <w:noProof/>
            <w:webHidden/>
          </w:rPr>
          <w:fldChar w:fldCharType="separate"/>
        </w:r>
        <w:r w:rsidR="007A55E8">
          <w:rPr>
            <w:noProof/>
            <w:webHidden/>
          </w:rPr>
          <w:t>3</w:t>
        </w:r>
        <w:r w:rsidR="00724D8F" w:rsidRPr="00724D8F">
          <w:rPr>
            <w:noProof/>
            <w:webHidden/>
          </w:rPr>
          <w:fldChar w:fldCharType="end"/>
        </w:r>
      </w:hyperlink>
    </w:p>
    <w:p w14:paraId="165E8325"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02" w:history="1">
        <w:r w:rsidR="00724D8F" w:rsidRPr="00724D8F">
          <w:rPr>
            <w:rStyle w:val="Hyperlink"/>
            <w:noProof/>
          </w:rPr>
          <w:t>2.1.2</w:t>
        </w:r>
        <w:r w:rsidR="00724D8F" w:rsidRPr="00724D8F">
          <w:rPr>
            <w:rFonts w:eastAsiaTheme="minorEastAsia" w:cstheme="minorBidi"/>
            <w:i w:val="0"/>
            <w:iCs w:val="0"/>
            <w:noProof/>
            <w:lang w:val="en-GB" w:eastAsia="en-GB" w:bidi="ar-SA"/>
          </w:rPr>
          <w:tab/>
        </w:r>
        <w:r w:rsidR="00724D8F" w:rsidRPr="00724D8F">
          <w:rPr>
            <w:rStyle w:val="Hyperlink"/>
            <w:noProof/>
          </w:rPr>
          <w:t>Technological justification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_Toc477274202 \h </w:instrText>
        </w:r>
        <w:r w:rsidR="00724D8F" w:rsidRPr="00724D8F">
          <w:rPr>
            <w:noProof/>
            <w:webHidden/>
          </w:rPr>
        </w:r>
        <w:r w:rsidR="00724D8F" w:rsidRPr="00724D8F">
          <w:rPr>
            <w:noProof/>
            <w:webHidden/>
          </w:rPr>
          <w:fldChar w:fldCharType="separate"/>
        </w:r>
        <w:r w:rsidR="007A55E8">
          <w:rPr>
            <w:noProof/>
            <w:webHidden/>
          </w:rPr>
          <w:t>3</w:t>
        </w:r>
        <w:r w:rsidR="00724D8F" w:rsidRPr="00724D8F">
          <w:rPr>
            <w:noProof/>
            <w:webHidden/>
          </w:rPr>
          <w:fldChar w:fldCharType="end"/>
        </w:r>
      </w:hyperlink>
    </w:p>
    <w:p w14:paraId="42D9EEB8"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03" w:history="1">
        <w:r w:rsidR="00724D8F" w:rsidRPr="00724D8F">
          <w:rPr>
            <w:rStyle w:val="Hyperlink"/>
            <w:noProof/>
          </w:rPr>
          <w:t>2.2</w:t>
        </w:r>
        <w:r w:rsidR="00724D8F" w:rsidRPr="00724D8F">
          <w:rPr>
            <w:rFonts w:eastAsiaTheme="minorEastAsia" w:cstheme="minorBidi"/>
            <w:smallCaps w:val="0"/>
            <w:noProof/>
            <w:lang w:val="en-GB" w:eastAsia="en-GB" w:bidi="ar-SA"/>
          </w:rPr>
          <w:tab/>
        </w:r>
        <w:r w:rsidR="00724D8F" w:rsidRPr="00724D8F">
          <w:rPr>
            <w:rStyle w:val="Hyperlink"/>
            <w:noProof/>
          </w:rPr>
          <w:t>Chemical properties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_Toc477274203 \h </w:instrText>
        </w:r>
        <w:r w:rsidR="00724D8F" w:rsidRPr="00724D8F">
          <w:rPr>
            <w:noProof/>
            <w:webHidden/>
          </w:rPr>
        </w:r>
        <w:r w:rsidR="00724D8F" w:rsidRPr="00724D8F">
          <w:rPr>
            <w:noProof/>
            <w:webHidden/>
          </w:rPr>
          <w:fldChar w:fldCharType="separate"/>
        </w:r>
        <w:r w:rsidR="007A55E8">
          <w:rPr>
            <w:noProof/>
            <w:webHidden/>
          </w:rPr>
          <w:t>4</w:t>
        </w:r>
        <w:r w:rsidR="00724D8F" w:rsidRPr="00724D8F">
          <w:rPr>
            <w:noProof/>
            <w:webHidden/>
          </w:rPr>
          <w:fldChar w:fldCharType="end"/>
        </w:r>
      </w:hyperlink>
    </w:p>
    <w:p w14:paraId="3DA7DF3D"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04" w:history="1">
        <w:r w:rsidR="00724D8F" w:rsidRPr="00724D8F">
          <w:rPr>
            <w:rStyle w:val="Hyperlink"/>
            <w:noProof/>
          </w:rPr>
          <w:t>2.2.1</w:t>
        </w:r>
        <w:r w:rsidR="00724D8F" w:rsidRPr="00724D8F">
          <w:rPr>
            <w:rFonts w:eastAsiaTheme="minorEastAsia" w:cstheme="minorBidi"/>
            <w:i w:val="0"/>
            <w:iCs w:val="0"/>
            <w:noProof/>
            <w:lang w:val="en-GB" w:eastAsia="en-GB" w:bidi="ar-SA"/>
          </w:rPr>
          <w:tab/>
        </w:r>
        <w:r w:rsidR="00724D8F" w:rsidRPr="00724D8F">
          <w:rPr>
            <w:rStyle w:val="Hyperlink"/>
            <w:noProof/>
          </w:rPr>
          <w:t>Chemical names, identification and structure</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_Toc477274204 \h </w:instrText>
        </w:r>
        <w:r w:rsidR="00724D8F" w:rsidRPr="00724D8F">
          <w:rPr>
            <w:noProof/>
            <w:webHidden/>
          </w:rPr>
        </w:r>
        <w:r w:rsidR="00724D8F" w:rsidRPr="00724D8F">
          <w:rPr>
            <w:noProof/>
            <w:webHidden/>
          </w:rPr>
          <w:fldChar w:fldCharType="separate"/>
        </w:r>
        <w:r w:rsidR="007A55E8">
          <w:rPr>
            <w:noProof/>
            <w:webHidden/>
          </w:rPr>
          <w:t>4</w:t>
        </w:r>
        <w:r w:rsidR="00724D8F" w:rsidRPr="00724D8F">
          <w:rPr>
            <w:noProof/>
            <w:webHidden/>
          </w:rPr>
          <w:fldChar w:fldCharType="end"/>
        </w:r>
      </w:hyperlink>
    </w:p>
    <w:p w14:paraId="6C2BEB31"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05" w:history="1">
        <w:r w:rsidR="00724D8F" w:rsidRPr="00724D8F">
          <w:rPr>
            <w:rStyle w:val="Hyperlink"/>
            <w:noProof/>
          </w:rPr>
          <w:t>2.3</w:t>
        </w:r>
        <w:r w:rsidR="00724D8F" w:rsidRPr="00724D8F">
          <w:rPr>
            <w:rFonts w:eastAsiaTheme="minorEastAsia" w:cstheme="minorBidi"/>
            <w:smallCaps w:val="0"/>
            <w:noProof/>
            <w:lang w:val="en-GB" w:eastAsia="en-GB" w:bidi="ar-SA"/>
          </w:rPr>
          <w:tab/>
        </w:r>
        <w:r w:rsidR="00724D8F" w:rsidRPr="00724D8F">
          <w:rPr>
            <w:rStyle w:val="Hyperlink"/>
            <w:noProof/>
          </w:rPr>
          <w:t>Analytical method for detection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_Toc477274205 \h </w:instrText>
        </w:r>
        <w:r w:rsidR="00724D8F" w:rsidRPr="00724D8F">
          <w:rPr>
            <w:noProof/>
            <w:webHidden/>
          </w:rPr>
        </w:r>
        <w:r w:rsidR="00724D8F" w:rsidRPr="00724D8F">
          <w:rPr>
            <w:noProof/>
            <w:webHidden/>
          </w:rPr>
          <w:fldChar w:fldCharType="separate"/>
        </w:r>
        <w:r w:rsidR="007A55E8">
          <w:rPr>
            <w:noProof/>
            <w:webHidden/>
          </w:rPr>
          <w:t>5</w:t>
        </w:r>
        <w:r w:rsidR="00724D8F" w:rsidRPr="00724D8F">
          <w:rPr>
            <w:noProof/>
            <w:webHidden/>
          </w:rPr>
          <w:fldChar w:fldCharType="end"/>
        </w:r>
      </w:hyperlink>
    </w:p>
    <w:p w14:paraId="6BEAB44E"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06" w:history="1">
        <w:r w:rsidR="00724D8F" w:rsidRPr="00724D8F">
          <w:rPr>
            <w:rStyle w:val="Hyperlink"/>
            <w:noProof/>
          </w:rPr>
          <w:t>2.4</w:t>
        </w:r>
        <w:r w:rsidR="00724D8F" w:rsidRPr="00724D8F">
          <w:rPr>
            <w:rFonts w:eastAsiaTheme="minorEastAsia" w:cstheme="minorBidi"/>
            <w:smallCaps w:val="0"/>
            <w:noProof/>
            <w:lang w:val="en-GB" w:eastAsia="en-GB" w:bidi="ar-SA"/>
          </w:rPr>
          <w:tab/>
        </w:r>
        <w:r w:rsidR="00724D8F" w:rsidRPr="00724D8F">
          <w:rPr>
            <w:rStyle w:val="Hyperlink"/>
            <w:noProof/>
          </w:rPr>
          <w:t>Manufacturing processes for plant sterols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_Toc477274206 \h </w:instrText>
        </w:r>
        <w:r w:rsidR="00724D8F" w:rsidRPr="00724D8F">
          <w:rPr>
            <w:noProof/>
            <w:webHidden/>
          </w:rPr>
        </w:r>
        <w:r w:rsidR="00724D8F" w:rsidRPr="00724D8F">
          <w:rPr>
            <w:noProof/>
            <w:webHidden/>
          </w:rPr>
          <w:fldChar w:fldCharType="separate"/>
        </w:r>
        <w:r w:rsidR="007A55E8">
          <w:rPr>
            <w:noProof/>
            <w:webHidden/>
          </w:rPr>
          <w:t>5</w:t>
        </w:r>
        <w:r w:rsidR="00724D8F" w:rsidRPr="00724D8F">
          <w:rPr>
            <w:noProof/>
            <w:webHidden/>
          </w:rPr>
          <w:fldChar w:fldCharType="end"/>
        </w:r>
      </w:hyperlink>
    </w:p>
    <w:p w14:paraId="2613F7C5"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07" w:history="1">
        <w:r w:rsidR="00724D8F" w:rsidRPr="00724D8F">
          <w:rPr>
            <w:rStyle w:val="Hyperlink"/>
            <w:noProof/>
          </w:rPr>
          <w:t>2.4.1</w:t>
        </w:r>
        <w:r w:rsidR="00724D8F" w:rsidRPr="00724D8F">
          <w:rPr>
            <w:rFonts w:eastAsiaTheme="minorEastAsia" w:cstheme="minorBidi"/>
            <w:i w:val="0"/>
            <w:iCs w:val="0"/>
            <w:noProof/>
            <w:lang w:val="en-GB" w:eastAsia="en-GB" w:bidi="ar-SA"/>
          </w:rPr>
          <w:tab/>
        </w:r>
        <w:r w:rsidR="00724D8F" w:rsidRPr="00724D8F">
          <w:rPr>
            <w:rStyle w:val="Hyperlink"/>
            <w:noProof/>
          </w:rPr>
          <w:t>Production from vegetable oil</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_Toc477274207 \h </w:instrText>
        </w:r>
        <w:r w:rsidR="00724D8F" w:rsidRPr="00724D8F">
          <w:rPr>
            <w:noProof/>
            <w:webHidden/>
          </w:rPr>
        </w:r>
        <w:r w:rsidR="00724D8F" w:rsidRPr="00724D8F">
          <w:rPr>
            <w:noProof/>
            <w:webHidden/>
          </w:rPr>
          <w:fldChar w:fldCharType="separate"/>
        </w:r>
        <w:r w:rsidR="007A55E8">
          <w:rPr>
            <w:noProof/>
            <w:webHidden/>
          </w:rPr>
          <w:t>5</w:t>
        </w:r>
        <w:r w:rsidR="00724D8F" w:rsidRPr="00724D8F">
          <w:rPr>
            <w:noProof/>
            <w:webHidden/>
          </w:rPr>
          <w:fldChar w:fldCharType="end"/>
        </w:r>
      </w:hyperlink>
    </w:p>
    <w:p w14:paraId="6714F58A"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08" w:history="1">
        <w:r w:rsidR="00724D8F" w:rsidRPr="00724D8F">
          <w:rPr>
            <w:rStyle w:val="Hyperlink"/>
            <w:noProof/>
          </w:rPr>
          <w:t>2.4.2</w:t>
        </w:r>
        <w:r w:rsidR="00724D8F" w:rsidRPr="00724D8F">
          <w:rPr>
            <w:rFonts w:eastAsiaTheme="minorEastAsia" w:cstheme="minorBidi"/>
            <w:i w:val="0"/>
            <w:iCs w:val="0"/>
            <w:noProof/>
            <w:lang w:val="en-GB" w:eastAsia="en-GB" w:bidi="ar-SA"/>
          </w:rPr>
          <w:tab/>
        </w:r>
        <w:r w:rsidR="00724D8F" w:rsidRPr="00724D8F">
          <w:rPr>
            <w:rStyle w:val="Hyperlink"/>
            <w:noProof/>
          </w:rPr>
          <w:t>Production from tall oil</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_Toc477274208 \h </w:instrText>
        </w:r>
        <w:r w:rsidR="00724D8F" w:rsidRPr="00724D8F">
          <w:rPr>
            <w:noProof/>
            <w:webHidden/>
          </w:rPr>
        </w:r>
        <w:r w:rsidR="00724D8F" w:rsidRPr="00724D8F">
          <w:rPr>
            <w:noProof/>
            <w:webHidden/>
          </w:rPr>
          <w:fldChar w:fldCharType="separate"/>
        </w:r>
        <w:r w:rsidR="007A55E8">
          <w:rPr>
            <w:noProof/>
            <w:webHidden/>
          </w:rPr>
          <w:t>6</w:t>
        </w:r>
        <w:r w:rsidR="00724D8F" w:rsidRPr="00724D8F">
          <w:rPr>
            <w:noProof/>
            <w:webHidden/>
          </w:rPr>
          <w:fldChar w:fldCharType="end"/>
        </w:r>
      </w:hyperlink>
    </w:p>
    <w:p w14:paraId="2A1C9915"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09" w:history="1">
        <w:r w:rsidR="00724D8F" w:rsidRPr="00724D8F">
          <w:rPr>
            <w:rStyle w:val="Hyperlink"/>
            <w:noProof/>
          </w:rPr>
          <w:t>2.4.3</w:t>
        </w:r>
        <w:r w:rsidR="00724D8F" w:rsidRPr="00724D8F">
          <w:rPr>
            <w:rFonts w:eastAsiaTheme="minorEastAsia" w:cstheme="minorBidi"/>
            <w:i w:val="0"/>
            <w:iCs w:val="0"/>
            <w:noProof/>
            <w:lang w:val="en-GB" w:eastAsia="en-GB" w:bidi="ar-SA"/>
          </w:rPr>
          <w:tab/>
        </w:r>
        <w:r w:rsidR="00724D8F" w:rsidRPr="00724D8F">
          <w:rPr>
            <w:rStyle w:val="Hyperlink"/>
            <w:noProof/>
          </w:rPr>
          <w:t>Product specification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_Toc477274209 \h </w:instrText>
        </w:r>
        <w:r w:rsidR="00724D8F" w:rsidRPr="00724D8F">
          <w:rPr>
            <w:noProof/>
            <w:webHidden/>
          </w:rPr>
        </w:r>
        <w:r w:rsidR="00724D8F" w:rsidRPr="00724D8F">
          <w:rPr>
            <w:noProof/>
            <w:webHidden/>
          </w:rPr>
          <w:fldChar w:fldCharType="separate"/>
        </w:r>
        <w:r w:rsidR="007A55E8">
          <w:rPr>
            <w:noProof/>
            <w:webHidden/>
          </w:rPr>
          <w:t>6</w:t>
        </w:r>
        <w:r w:rsidR="00724D8F" w:rsidRPr="00724D8F">
          <w:rPr>
            <w:noProof/>
            <w:webHidden/>
          </w:rPr>
          <w:fldChar w:fldCharType="end"/>
        </w:r>
      </w:hyperlink>
    </w:p>
    <w:p w14:paraId="26298E53"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10" w:history="1">
        <w:r w:rsidR="00724D8F" w:rsidRPr="00724D8F">
          <w:rPr>
            <w:rStyle w:val="Hyperlink"/>
            <w:noProof/>
          </w:rPr>
          <w:t>2.4.4</w:t>
        </w:r>
        <w:r w:rsidR="00724D8F" w:rsidRPr="00724D8F">
          <w:rPr>
            <w:rFonts w:eastAsiaTheme="minorEastAsia" w:cstheme="minorBidi"/>
            <w:i w:val="0"/>
            <w:iCs w:val="0"/>
            <w:noProof/>
            <w:lang w:val="en-GB" w:eastAsia="en-GB" w:bidi="ar-SA"/>
          </w:rPr>
          <w:tab/>
        </w:r>
        <w:r w:rsidR="00724D8F" w:rsidRPr="00724D8F">
          <w:rPr>
            <w:rStyle w:val="Hyperlink"/>
            <w:noProof/>
          </w:rPr>
          <w:t>Product Stability</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_Toc477274210 \h </w:instrText>
        </w:r>
        <w:r w:rsidR="00724D8F" w:rsidRPr="00724D8F">
          <w:rPr>
            <w:noProof/>
            <w:webHidden/>
          </w:rPr>
        </w:r>
        <w:r w:rsidR="00724D8F" w:rsidRPr="00724D8F">
          <w:rPr>
            <w:noProof/>
            <w:webHidden/>
          </w:rPr>
          <w:fldChar w:fldCharType="separate"/>
        </w:r>
        <w:r w:rsidR="007A55E8">
          <w:rPr>
            <w:noProof/>
            <w:webHidden/>
          </w:rPr>
          <w:t>6</w:t>
        </w:r>
        <w:r w:rsidR="00724D8F" w:rsidRPr="00724D8F">
          <w:rPr>
            <w:noProof/>
            <w:webHidden/>
          </w:rPr>
          <w:fldChar w:fldCharType="end"/>
        </w:r>
      </w:hyperlink>
    </w:p>
    <w:p w14:paraId="2345DBDF"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11" w:history="1">
        <w:r w:rsidR="00724D8F" w:rsidRPr="00724D8F">
          <w:rPr>
            <w:rStyle w:val="Hyperlink"/>
            <w:noProof/>
          </w:rPr>
          <w:t>2.5</w:t>
        </w:r>
        <w:r w:rsidR="00724D8F" w:rsidRPr="00724D8F">
          <w:rPr>
            <w:rFonts w:eastAsiaTheme="minorEastAsia" w:cstheme="minorBidi"/>
            <w:smallCaps w:val="0"/>
            <w:noProof/>
            <w:lang w:val="en-GB" w:eastAsia="en-GB" w:bidi="ar-SA"/>
          </w:rPr>
          <w:tab/>
        </w:r>
        <w:r w:rsidR="00724D8F" w:rsidRPr="00724D8F">
          <w:rPr>
            <w:rStyle w:val="Hyperlink"/>
            <w:noProof/>
          </w:rPr>
          <w:t>Incorporating plant sterols into breakfast cereals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_Toc477274211 \h </w:instrText>
        </w:r>
        <w:r w:rsidR="00724D8F" w:rsidRPr="00724D8F">
          <w:rPr>
            <w:noProof/>
            <w:webHidden/>
          </w:rPr>
        </w:r>
        <w:r w:rsidR="00724D8F" w:rsidRPr="00724D8F">
          <w:rPr>
            <w:noProof/>
            <w:webHidden/>
          </w:rPr>
          <w:fldChar w:fldCharType="separate"/>
        </w:r>
        <w:r w:rsidR="007A55E8">
          <w:rPr>
            <w:noProof/>
            <w:webHidden/>
          </w:rPr>
          <w:t>7</w:t>
        </w:r>
        <w:r w:rsidR="00724D8F" w:rsidRPr="00724D8F">
          <w:rPr>
            <w:noProof/>
            <w:webHidden/>
          </w:rPr>
          <w:fldChar w:fldCharType="end"/>
        </w:r>
      </w:hyperlink>
    </w:p>
    <w:p w14:paraId="4A10CC0F"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12" w:history="1">
        <w:r w:rsidR="00724D8F" w:rsidRPr="00724D8F">
          <w:rPr>
            <w:rStyle w:val="Hyperlink"/>
            <w:noProof/>
          </w:rPr>
          <w:t>2.6</w:t>
        </w:r>
        <w:r w:rsidR="00724D8F" w:rsidRPr="00724D8F">
          <w:rPr>
            <w:rFonts w:eastAsiaTheme="minorEastAsia" w:cstheme="minorBidi"/>
            <w:smallCaps w:val="0"/>
            <w:noProof/>
            <w:lang w:val="en-GB" w:eastAsia="en-GB" w:bidi="ar-SA"/>
          </w:rPr>
          <w:tab/>
        </w:r>
        <w:r w:rsidR="00724D8F" w:rsidRPr="00724D8F">
          <w:rPr>
            <w:rStyle w:val="Hyperlink"/>
            <w:noProof/>
          </w:rPr>
          <w:t>Food technology conclusions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_Toc477274212 \h </w:instrText>
        </w:r>
        <w:r w:rsidR="00724D8F" w:rsidRPr="00724D8F">
          <w:rPr>
            <w:noProof/>
            <w:webHidden/>
          </w:rPr>
        </w:r>
        <w:r w:rsidR="00724D8F" w:rsidRPr="00724D8F">
          <w:rPr>
            <w:noProof/>
            <w:webHidden/>
          </w:rPr>
          <w:fldChar w:fldCharType="separate"/>
        </w:r>
        <w:r w:rsidR="007A55E8">
          <w:rPr>
            <w:noProof/>
            <w:webHidden/>
          </w:rPr>
          <w:t>7</w:t>
        </w:r>
        <w:r w:rsidR="00724D8F" w:rsidRPr="00724D8F">
          <w:rPr>
            <w:noProof/>
            <w:webHidden/>
          </w:rPr>
          <w:fldChar w:fldCharType="end"/>
        </w:r>
      </w:hyperlink>
    </w:p>
    <w:p w14:paraId="01713152" w14:textId="77777777"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213" w:history="1">
        <w:r w:rsidR="00724D8F" w:rsidRPr="00724D8F">
          <w:rPr>
            <w:rStyle w:val="Hyperlink"/>
            <w:noProof/>
          </w:rPr>
          <w:t>3</w:t>
        </w:r>
        <w:r w:rsidR="00724D8F" w:rsidRPr="00724D8F">
          <w:rPr>
            <w:rFonts w:eastAsiaTheme="minorEastAsia" w:cstheme="minorBidi"/>
            <w:b w:val="0"/>
            <w:bCs w:val="0"/>
            <w:caps w:val="0"/>
            <w:noProof/>
            <w:lang w:val="en-GB" w:eastAsia="en-GB" w:bidi="ar-SA"/>
          </w:rPr>
          <w:tab/>
        </w:r>
        <w:r w:rsidR="00724D8F" w:rsidRPr="00724D8F">
          <w:rPr>
            <w:rStyle w:val="Hyperlink"/>
            <w:noProof/>
          </w:rPr>
          <w:t>Hazard assessment</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_Toc477274213 \h </w:instrText>
        </w:r>
        <w:r w:rsidR="00724D8F" w:rsidRPr="00724D8F">
          <w:rPr>
            <w:noProof/>
            <w:webHidden/>
          </w:rPr>
        </w:r>
        <w:r w:rsidR="00724D8F" w:rsidRPr="00724D8F">
          <w:rPr>
            <w:noProof/>
            <w:webHidden/>
          </w:rPr>
          <w:fldChar w:fldCharType="separate"/>
        </w:r>
        <w:r w:rsidR="007A55E8">
          <w:rPr>
            <w:noProof/>
            <w:webHidden/>
          </w:rPr>
          <w:t>8</w:t>
        </w:r>
        <w:r w:rsidR="00724D8F" w:rsidRPr="00724D8F">
          <w:rPr>
            <w:noProof/>
            <w:webHidden/>
          </w:rPr>
          <w:fldChar w:fldCharType="end"/>
        </w:r>
      </w:hyperlink>
    </w:p>
    <w:p w14:paraId="6E7DD068"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14" w:history="1">
        <w:r w:rsidR="00724D8F" w:rsidRPr="00724D8F">
          <w:rPr>
            <w:rStyle w:val="Hyperlink"/>
            <w:noProof/>
          </w:rPr>
          <w:t>3.1</w:t>
        </w:r>
        <w:r w:rsidR="00724D8F" w:rsidRPr="00724D8F">
          <w:rPr>
            <w:rFonts w:eastAsiaTheme="minorEastAsia" w:cstheme="minorBidi"/>
            <w:smallCaps w:val="0"/>
            <w:noProof/>
            <w:lang w:val="en-GB" w:eastAsia="en-GB" w:bidi="ar-SA"/>
          </w:rPr>
          <w:tab/>
        </w:r>
        <w:r w:rsidR="00724D8F" w:rsidRPr="00724D8F">
          <w:rPr>
            <w:rStyle w:val="Hyperlink"/>
            <w:noProof/>
          </w:rPr>
          <w:t>Review of the current relevant evidence</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_Toc477274214 \h </w:instrText>
        </w:r>
        <w:r w:rsidR="00724D8F" w:rsidRPr="00724D8F">
          <w:rPr>
            <w:noProof/>
            <w:webHidden/>
          </w:rPr>
        </w:r>
        <w:r w:rsidR="00724D8F" w:rsidRPr="00724D8F">
          <w:rPr>
            <w:noProof/>
            <w:webHidden/>
          </w:rPr>
          <w:fldChar w:fldCharType="separate"/>
        </w:r>
        <w:r w:rsidR="007A55E8">
          <w:rPr>
            <w:noProof/>
            <w:webHidden/>
          </w:rPr>
          <w:t>8</w:t>
        </w:r>
        <w:r w:rsidR="00724D8F" w:rsidRPr="00724D8F">
          <w:rPr>
            <w:noProof/>
            <w:webHidden/>
          </w:rPr>
          <w:fldChar w:fldCharType="end"/>
        </w:r>
      </w:hyperlink>
    </w:p>
    <w:p w14:paraId="6BB119C5" w14:textId="77777777" w:rsidR="00724D8F" w:rsidRPr="00724D8F" w:rsidRDefault="00A272E7">
      <w:pPr>
        <w:pStyle w:val="TOC3"/>
        <w:tabs>
          <w:tab w:val="left" w:pos="880"/>
          <w:tab w:val="right" w:leader="dot" w:pos="9060"/>
        </w:tabs>
        <w:rPr>
          <w:rFonts w:eastAsiaTheme="minorEastAsia" w:cstheme="minorBidi"/>
          <w:i w:val="0"/>
          <w:iCs w:val="0"/>
          <w:noProof/>
          <w:lang w:val="en-GB" w:eastAsia="en-GB" w:bidi="ar-SA"/>
        </w:rPr>
      </w:pPr>
      <w:hyperlink w:anchor="_Toc477274215" w:history="1">
        <w:r w:rsidR="00724D8F" w:rsidRPr="00724D8F">
          <w:rPr>
            <w:rStyle w:val="Hyperlink"/>
            <w:noProof/>
          </w:rPr>
          <w:t>1.</w:t>
        </w:r>
        <w:r w:rsidR="00724D8F" w:rsidRPr="00724D8F">
          <w:rPr>
            <w:rFonts w:eastAsiaTheme="minorEastAsia" w:cstheme="minorBidi"/>
            <w:i w:val="0"/>
            <w:iCs w:val="0"/>
            <w:noProof/>
            <w:lang w:val="en-GB" w:eastAsia="en-GB" w:bidi="ar-SA"/>
          </w:rPr>
          <w:tab/>
        </w:r>
        <w:r w:rsidR="00724D8F" w:rsidRPr="00724D8F">
          <w:rPr>
            <w:rStyle w:val="Hyperlink"/>
            <w:noProof/>
          </w:rPr>
          <w:t>Moderately elevated plasma plant sterols levels have been associated with increased cardiovascular risk</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_Toc477274215 \h </w:instrText>
        </w:r>
        <w:r w:rsidR="00724D8F" w:rsidRPr="00724D8F">
          <w:rPr>
            <w:noProof/>
            <w:webHidden/>
          </w:rPr>
        </w:r>
        <w:r w:rsidR="00724D8F" w:rsidRPr="00724D8F">
          <w:rPr>
            <w:noProof/>
            <w:webHidden/>
          </w:rPr>
          <w:fldChar w:fldCharType="separate"/>
        </w:r>
        <w:r w:rsidR="007A55E8">
          <w:rPr>
            <w:noProof/>
            <w:webHidden/>
          </w:rPr>
          <w:t>9</w:t>
        </w:r>
        <w:r w:rsidR="00724D8F" w:rsidRPr="00724D8F">
          <w:rPr>
            <w:noProof/>
            <w:webHidden/>
          </w:rPr>
          <w:fldChar w:fldCharType="end"/>
        </w:r>
      </w:hyperlink>
    </w:p>
    <w:p w14:paraId="043686D7" w14:textId="77777777" w:rsidR="00724D8F" w:rsidRPr="00724D8F" w:rsidRDefault="00A272E7">
      <w:pPr>
        <w:pStyle w:val="TOC3"/>
        <w:tabs>
          <w:tab w:val="left" w:pos="880"/>
          <w:tab w:val="right" w:leader="dot" w:pos="9060"/>
        </w:tabs>
        <w:rPr>
          <w:rFonts w:eastAsiaTheme="minorEastAsia" w:cstheme="minorBidi"/>
          <w:i w:val="0"/>
          <w:iCs w:val="0"/>
          <w:noProof/>
          <w:lang w:val="en-GB" w:eastAsia="en-GB" w:bidi="ar-SA"/>
        </w:rPr>
      </w:pPr>
      <w:hyperlink w:anchor="_Toc477274216" w:history="1">
        <w:r w:rsidR="00724D8F" w:rsidRPr="00724D8F">
          <w:rPr>
            <w:rStyle w:val="Hyperlink"/>
            <w:noProof/>
          </w:rPr>
          <w:t>2.</w:t>
        </w:r>
        <w:r w:rsidR="00724D8F" w:rsidRPr="00724D8F">
          <w:rPr>
            <w:rFonts w:eastAsiaTheme="minorEastAsia" w:cstheme="minorBidi"/>
            <w:i w:val="0"/>
            <w:iCs w:val="0"/>
            <w:noProof/>
            <w:lang w:val="en-GB" w:eastAsia="en-GB" w:bidi="ar-SA"/>
          </w:rPr>
          <w:tab/>
        </w:r>
        <w:r w:rsidR="00724D8F" w:rsidRPr="00724D8F">
          <w:rPr>
            <w:rStyle w:val="Hyperlink"/>
            <w:noProof/>
          </w:rPr>
          <w:t>Genetic variants associated with increased serum concentrations of plant sterols are also associated with cardiovascular risk</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_Toc477274216 \h </w:instrText>
        </w:r>
        <w:r w:rsidR="00724D8F" w:rsidRPr="00724D8F">
          <w:rPr>
            <w:noProof/>
            <w:webHidden/>
          </w:rPr>
        </w:r>
        <w:r w:rsidR="00724D8F" w:rsidRPr="00724D8F">
          <w:rPr>
            <w:noProof/>
            <w:webHidden/>
          </w:rPr>
          <w:fldChar w:fldCharType="separate"/>
        </w:r>
        <w:r w:rsidR="007A55E8">
          <w:rPr>
            <w:noProof/>
            <w:webHidden/>
          </w:rPr>
          <w:t>9</w:t>
        </w:r>
        <w:r w:rsidR="00724D8F" w:rsidRPr="00724D8F">
          <w:rPr>
            <w:noProof/>
            <w:webHidden/>
          </w:rPr>
          <w:fldChar w:fldCharType="end"/>
        </w:r>
      </w:hyperlink>
    </w:p>
    <w:p w14:paraId="3ADFABB7" w14:textId="77777777" w:rsidR="00724D8F" w:rsidRPr="00724D8F" w:rsidRDefault="00A272E7">
      <w:pPr>
        <w:pStyle w:val="TOC3"/>
        <w:tabs>
          <w:tab w:val="left" w:pos="880"/>
          <w:tab w:val="right" w:leader="dot" w:pos="9060"/>
        </w:tabs>
        <w:rPr>
          <w:rFonts w:eastAsiaTheme="minorEastAsia" w:cstheme="minorBidi"/>
          <w:i w:val="0"/>
          <w:iCs w:val="0"/>
          <w:noProof/>
          <w:lang w:val="en-GB" w:eastAsia="en-GB" w:bidi="ar-SA"/>
        </w:rPr>
      </w:pPr>
      <w:hyperlink w:anchor="_Toc477274217" w:history="1">
        <w:r w:rsidR="00724D8F" w:rsidRPr="00724D8F">
          <w:rPr>
            <w:rStyle w:val="Hyperlink"/>
            <w:noProof/>
          </w:rPr>
          <w:t>3.</w:t>
        </w:r>
        <w:r w:rsidR="00724D8F" w:rsidRPr="00724D8F">
          <w:rPr>
            <w:rFonts w:eastAsiaTheme="minorEastAsia" w:cstheme="minorBidi"/>
            <w:i w:val="0"/>
            <w:iCs w:val="0"/>
            <w:noProof/>
            <w:lang w:val="en-GB" w:eastAsia="en-GB" w:bidi="ar-SA"/>
          </w:rPr>
          <w:tab/>
        </w:r>
        <w:r w:rsidR="00724D8F" w:rsidRPr="00724D8F">
          <w:rPr>
            <w:rStyle w:val="Hyperlink"/>
            <w:noProof/>
          </w:rPr>
          <w:t>Plant sterol oxidation products (POPs) may pose a risk to consumers of plant sterols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_Toc477274217 \h </w:instrText>
        </w:r>
        <w:r w:rsidR="00724D8F" w:rsidRPr="00724D8F">
          <w:rPr>
            <w:noProof/>
            <w:webHidden/>
          </w:rPr>
        </w:r>
        <w:r w:rsidR="00724D8F" w:rsidRPr="00724D8F">
          <w:rPr>
            <w:noProof/>
            <w:webHidden/>
          </w:rPr>
          <w:fldChar w:fldCharType="separate"/>
        </w:r>
        <w:r w:rsidR="007A55E8">
          <w:rPr>
            <w:noProof/>
            <w:webHidden/>
          </w:rPr>
          <w:t>9</w:t>
        </w:r>
        <w:r w:rsidR="00724D8F" w:rsidRPr="00724D8F">
          <w:rPr>
            <w:noProof/>
            <w:webHidden/>
          </w:rPr>
          <w:fldChar w:fldCharType="end"/>
        </w:r>
      </w:hyperlink>
    </w:p>
    <w:p w14:paraId="31CB5B81" w14:textId="77777777" w:rsidR="00724D8F" w:rsidRPr="00724D8F" w:rsidRDefault="00A272E7">
      <w:pPr>
        <w:pStyle w:val="TOC3"/>
        <w:tabs>
          <w:tab w:val="left" w:pos="880"/>
          <w:tab w:val="right" w:leader="dot" w:pos="9060"/>
        </w:tabs>
        <w:rPr>
          <w:rFonts w:eastAsiaTheme="minorEastAsia" w:cstheme="minorBidi"/>
          <w:i w:val="0"/>
          <w:iCs w:val="0"/>
          <w:noProof/>
          <w:lang w:val="en-GB" w:eastAsia="en-GB" w:bidi="ar-SA"/>
        </w:rPr>
      </w:pPr>
      <w:hyperlink w:anchor="_Toc477274218" w:history="1">
        <w:r w:rsidR="00724D8F" w:rsidRPr="00724D8F">
          <w:rPr>
            <w:rStyle w:val="Hyperlink"/>
            <w:noProof/>
          </w:rPr>
          <w:t>4.</w:t>
        </w:r>
        <w:r w:rsidR="00724D8F" w:rsidRPr="00724D8F">
          <w:rPr>
            <w:rFonts w:eastAsiaTheme="minorEastAsia" w:cstheme="minorBidi"/>
            <w:i w:val="0"/>
            <w:iCs w:val="0"/>
            <w:noProof/>
            <w:lang w:val="en-GB" w:eastAsia="en-GB" w:bidi="ar-SA"/>
          </w:rPr>
          <w:tab/>
        </w:r>
        <w:r w:rsidR="00724D8F" w:rsidRPr="00724D8F">
          <w:rPr>
            <w:rStyle w:val="Hyperlink"/>
            <w:noProof/>
          </w:rPr>
          <w:t>No intervention studies have been performed to show that clinically relevant cardiovascular endpoints may be reduced</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_Toc477274218 \h </w:instrText>
        </w:r>
        <w:r w:rsidR="00724D8F" w:rsidRPr="00724D8F">
          <w:rPr>
            <w:noProof/>
            <w:webHidden/>
          </w:rPr>
        </w:r>
        <w:r w:rsidR="00724D8F" w:rsidRPr="00724D8F">
          <w:rPr>
            <w:noProof/>
            <w:webHidden/>
          </w:rPr>
          <w:fldChar w:fldCharType="separate"/>
        </w:r>
        <w:r w:rsidR="007A55E8">
          <w:rPr>
            <w:noProof/>
            <w:webHidden/>
          </w:rPr>
          <w:t>9</w:t>
        </w:r>
        <w:r w:rsidR="00724D8F" w:rsidRPr="00724D8F">
          <w:rPr>
            <w:noProof/>
            <w:webHidden/>
          </w:rPr>
          <w:fldChar w:fldCharType="end"/>
        </w:r>
      </w:hyperlink>
    </w:p>
    <w:p w14:paraId="61823D67" w14:textId="77777777" w:rsidR="00724D8F" w:rsidRPr="00724D8F" w:rsidRDefault="00A272E7">
      <w:pPr>
        <w:pStyle w:val="TOC3"/>
        <w:tabs>
          <w:tab w:val="left" w:pos="880"/>
          <w:tab w:val="right" w:leader="dot" w:pos="9060"/>
        </w:tabs>
        <w:rPr>
          <w:rFonts w:eastAsiaTheme="minorEastAsia" w:cstheme="minorBidi"/>
          <w:i w:val="0"/>
          <w:iCs w:val="0"/>
          <w:noProof/>
          <w:lang w:val="en-GB" w:eastAsia="en-GB" w:bidi="ar-SA"/>
        </w:rPr>
      </w:pPr>
      <w:hyperlink w:anchor="_Toc477274219" w:history="1">
        <w:r w:rsidR="00724D8F" w:rsidRPr="00724D8F">
          <w:rPr>
            <w:rStyle w:val="Hyperlink"/>
            <w:noProof/>
          </w:rPr>
          <w:t>5.</w:t>
        </w:r>
        <w:r w:rsidR="00724D8F" w:rsidRPr="00724D8F">
          <w:rPr>
            <w:rFonts w:eastAsiaTheme="minorEastAsia" w:cstheme="minorBidi"/>
            <w:i w:val="0"/>
            <w:iCs w:val="0"/>
            <w:noProof/>
            <w:lang w:val="en-GB" w:eastAsia="en-GB" w:bidi="ar-SA"/>
          </w:rPr>
          <w:tab/>
        </w:r>
        <w:r w:rsidR="00724D8F" w:rsidRPr="00724D8F">
          <w:rPr>
            <w:rStyle w:val="Hyperlink"/>
            <w:noProof/>
          </w:rPr>
          <w:t>Patients with phytosterolaemia (sitosterolaemia) may develop early onset atherosclerosis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_Toc477274219 \h </w:instrText>
        </w:r>
        <w:r w:rsidR="00724D8F" w:rsidRPr="00724D8F">
          <w:rPr>
            <w:noProof/>
            <w:webHidden/>
          </w:rPr>
        </w:r>
        <w:r w:rsidR="00724D8F" w:rsidRPr="00724D8F">
          <w:rPr>
            <w:noProof/>
            <w:webHidden/>
          </w:rPr>
          <w:fldChar w:fldCharType="separate"/>
        </w:r>
        <w:r w:rsidR="007A55E8">
          <w:rPr>
            <w:noProof/>
            <w:webHidden/>
          </w:rPr>
          <w:t>10</w:t>
        </w:r>
        <w:r w:rsidR="00724D8F" w:rsidRPr="00724D8F">
          <w:rPr>
            <w:noProof/>
            <w:webHidden/>
          </w:rPr>
          <w:fldChar w:fldCharType="end"/>
        </w:r>
      </w:hyperlink>
    </w:p>
    <w:p w14:paraId="5C7A7494" w14:textId="77777777" w:rsidR="00724D8F" w:rsidRPr="00724D8F" w:rsidRDefault="00A272E7">
      <w:pPr>
        <w:pStyle w:val="TOC3"/>
        <w:tabs>
          <w:tab w:val="left" w:pos="880"/>
          <w:tab w:val="right" w:leader="dot" w:pos="9060"/>
        </w:tabs>
        <w:rPr>
          <w:rFonts w:eastAsiaTheme="minorEastAsia" w:cstheme="minorBidi"/>
          <w:i w:val="0"/>
          <w:iCs w:val="0"/>
          <w:noProof/>
          <w:lang w:val="en-GB" w:eastAsia="en-GB" w:bidi="ar-SA"/>
        </w:rPr>
      </w:pPr>
      <w:hyperlink w:anchor="_Toc477274220" w:history="1">
        <w:r w:rsidR="00724D8F" w:rsidRPr="00724D8F">
          <w:rPr>
            <w:rStyle w:val="Hyperlink"/>
            <w:noProof/>
          </w:rPr>
          <w:t>6.</w:t>
        </w:r>
        <w:r w:rsidR="00724D8F" w:rsidRPr="00724D8F">
          <w:rPr>
            <w:rFonts w:eastAsiaTheme="minorEastAsia" w:cstheme="minorBidi"/>
            <w:i w:val="0"/>
            <w:iCs w:val="0"/>
            <w:noProof/>
            <w:lang w:val="en-GB" w:eastAsia="en-GB" w:bidi="ar-SA"/>
          </w:rPr>
          <w:tab/>
        </w:r>
        <w:r w:rsidR="00724D8F" w:rsidRPr="00724D8F">
          <w:rPr>
            <w:rStyle w:val="Hyperlink"/>
            <w:noProof/>
          </w:rPr>
          <w:t>Plant sterol supplementation may result in decreased circulating levels of carotenoids, which might in turn lead to a higher incidence of certain cancers and of macular degeneration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_Toc477274220 \h </w:instrText>
        </w:r>
        <w:r w:rsidR="00724D8F" w:rsidRPr="00724D8F">
          <w:rPr>
            <w:noProof/>
            <w:webHidden/>
          </w:rPr>
        </w:r>
        <w:r w:rsidR="00724D8F" w:rsidRPr="00724D8F">
          <w:rPr>
            <w:noProof/>
            <w:webHidden/>
          </w:rPr>
          <w:fldChar w:fldCharType="separate"/>
        </w:r>
        <w:r w:rsidR="007A55E8">
          <w:rPr>
            <w:noProof/>
            <w:webHidden/>
          </w:rPr>
          <w:t>10</w:t>
        </w:r>
        <w:r w:rsidR="00724D8F" w:rsidRPr="00724D8F">
          <w:rPr>
            <w:noProof/>
            <w:webHidden/>
          </w:rPr>
          <w:fldChar w:fldCharType="end"/>
        </w:r>
      </w:hyperlink>
    </w:p>
    <w:p w14:paraId="60D73BA3"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21" w:history="1">
        <w:r w:rsidR="00724D8F" w:rsidRPr="00724D8F">
          <w:rPr>
            <w:rStyle w:val="Hyperlink"/>
            <w:noProof/>
          </w:rPr>
          <w:t>3.2</w:t>
        </w:r>
        <w:r w:rsidR="00724D8F" w:rsidRPr="00724D8F">
          <w:rPr>
            <w:rFonts w:eastAsiaTheme="minorEastAsia" w:cstheme="minorBidi"/>
            <w:smallCaps w:val="0"/>
            <w:noProof/>
            <w:lang w:val="en-GB" w:eastAsia="en-GB" w:bidi="ar-SA"/>
          </w:rPr>
          <w:tab/>
        </w:r>
        <w:r w:rsidR="00724D8F" w:rsidRPr="00724D8F">
          <w:rPr>
            <w:rStyle w:val="Hyperlink"/>
            <w:noProof/>
          </w:rPr>
          <w:t>Conclusions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_Toc477274221 \h </w:instrText>
        </w:r>
        <w:r w:rsidR="00724D8F" w:rsidRPr="00724D8F">
          <w:rPr>
            <w:noProof/>
            <w:webHidden/>
          </w:rPr>
        </w:r>
        <w:r w:rsidR="00724D8F" w:rsidRPr="00724D8F">
          <w:rPr>
            <w:noProof/>
            <w:webHidden/>
          </w:rPr>
          <w:fldChar w:fldCharType="separate"/>
        </w:r>
        <w:r w:rsidR="007A55E8">
          <w:rPr>
            <w:noProof/>
            <w:webHidden/>
          </w:rPr>
          <w:t>10</w:t>
        </w:r>
        <w:r w:rsidR="00724D8F" w:rsidRPr="00724D8F">
          <w:rPr>
            <w:noProof/>
            <w:webHidden/>
          </w:rPr>
          <w:fldChar w:fldCharType="end"/>
        </w:r>
      </w:hyperlink>
    </w:p>
    <w:p w14:paraId="3C17CF4E" w14:textId="77777777"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222" w:history="1">
        <w:r w:rsidR="00724D8F" w:rsidRPr="00724D8F">
          <w:rPr>
            <w:rStyle w:val="Hyperlink"/>
            <w:noProof/>
          </w:rPr>
          <w:t>4</w:t>
        </w:r>
        <w:r w:rsidR="00724D8F" w:rsidRPr="00724D8F">
          <w:rPr>
            <w:rFonts w:eastAsiaTheme="minorEastAsia" w:cstheme="minorBidi"/>
            <w:b w:val="0"/>
            <w:bCs w:val="0"/>
            <w:caps w:val="0"/>
            <w:noProof/>
            <w:lang w:val="en-GB" w:eastAsia="en-GB" w:bidi="ar-SA"/>
          </w:rPr>
          <w:tab/>
        </w:r>
        <w:r w:rsidR="00724D8F" w:rsidRPr="00724D8F">
          <w:rPr>
            <w:rStyle w:val="Hyperlink"/>
            <w:noProof/>
          </w:rPr>
          <w:t>Nutrition assessment</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_Toc477274222 \h </w:instrText>
        </w:r>
        <w:r w:rsidR="00724D8F" w:rsidRPr="00724D8F">
          <w:rPr>
            <w:noProof/>
            <w:webHidden/>
          </w:rPr>
        </w:r>
        <w:r w:rsidR="00724D8F" w:rsidRPr="00724D8F">
          <w:rPr>
            <w:noProof/>
            <w:webHidden/>
          </w:rPr>
          <w:fldChar w:fldCharType="separate"/>
        </w:r>
        <w:r w:rsidR="007A55E8">
          <w:rPr>
            <w:noProof/>
            <w:webHidden/>
          </w:rPr>
          <w:t>11</w:t>
        </w:r>
        <w:r w:rsidR="00724D8F" w:rsidRPr="00724D8F">
          <w:rPr>
            <w:noProof/>
            <w:webHidden/>
          </w:rPr>
          <w:fldChar w:fldCharType="end"/>
        </w:r>
      </w:hyperlink>
    </w:p>
    <w:p w14:paraId="7878BD2C"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23" w:history="1">
        <w:r w:rsidR="00724D8F" w:rsidRPr="00724D8F">
          <w:rPr>
            <w:rStyle w:val="Hyperlink"/>
            <w:noProof/>
          </w:rPr>
          <w:t>4.1</w:t>
        </w:r>
        <w:r w:rsidR="00724D8F" w:rsidRPr="00724D8F">
          <w:rPr>
            <w:rFonts w:eastAsiaTheme="minorEastAsia" w:cstheme="minorBidi"/>
            <w:smallCaps w:val="0"/>
            <w:noProof/>
            <w:lang w:val="en-GB" w:eastAsia="en-GB" w:bidi="ar-SA"/>
          </w:rPr>
          <w:tab/>
        </w:r>
        <w:r w:rsidR="00724D8F" w:rsidRPr="00724D8F">
          <w:rPr>
            <w:rStyle w:val="Hyperlink"/>
            <w:noProof/>
          </w:rPr>
          <w:t>Absorption of plant sterols and proposed mode of hypocholesterolaemic action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_Toc477274223 \h </w:instrText>
        </w:r>
        <w:r w:rsidR="00724D8F" w:rsidRPr="00724D8F">
          <w:rPr>
            <w:noProof/>
            <w:webHidden/>
          </w:rPr>
        </w:r>
        <w:r w:rsidR="00724D8F" w:rsidRPr="00724D8F">
          <w:rPr>
            <w:noProof/>
            <w:webHidden/>
          </w:rPr>
          <w:fldChar w:fldCharType="separate"/>
        </w:r>
        <w:r w:rsidR="007A55E8">
          <w:rPr>
            <w:noProof/>
            <w:webHidden/>
          </w:rPr>
          <w:t>12</w:t>
        </w:r>
        <w:r w:rsidR="00724D8F" w:rsidRPr="00724D8F">
          <w:rPr>
            <w:noProof/>
            <w:webHidden/>
          </w:rPr>
          <w:fldChar w:fldCharType="end"/>
        </w:r>
      </w:hyperlink>
    </w:p>
    <w:p w14:paraId="4AFE3905"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24" w:history="1">
        <w:r w:rsidR="00724D8F" w:rsidRPr="00724D8F">
          <w:rPr>
            <w:rStyle w:val="Hyperlink"/>
            <w:noProof/>
          </w:rPr>
          <w:t>4.2</w:t>
        </w:r>
        <w:r w:rsidR="00724D8F" w:rsidRPr="00724D8F">
          <w:rPr>
            <w:rFonts w:eastAsiaTheme="minorEastAsia" w:cstheme="minorBidi"/>
            <w:smallCaps w:val="0"/>
            <w:noProof/>
            <w:lang w:val="en-GB" w:eastAsia="en-GB" w:bidi="ar-SA"/>
          </w:rPr>
          <w:tab/>
        </w:r>
        <w:r w:rsidR="00724D8F" w:rsidRPr="00724D8F">
          <w:rPr>
            <w:rStyle w:val="Hyperlink"/>
            <w:noProof/>
          </w:rPr>
          <w:t>Effect of plant sterols on fat-soluble vitamins and carotenoids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_Toc477274224 \h </w:instrText>
        </w:r>
        <w:r w:rsidR="00724D8F" w:rsidRPr="00724D8F">
          <w:rPr>
            <w:noProof/>
            <w:webHidden/>
          </w:rPr>
        </w:r>
        <w:r w:rsidR="00724D8F" w:rsidRPr="00724D8F">
          <w:rPr>
            <w:noProof/>
            <w:webHidden/>
          </w:rPr>
          <w:fldChar w:fldCharType="separate"/>
        </w:r>
        <w:r w:rsidR="007A55E8">
          <w:rPr>
            <w:noProof/>
            <w:webHidden/>
          </w:rPr>
          <w:t>15</w:t>
        </w:r>
        <w:r w:rsidR="00724D8F" w:rsidRPr="00724D8F">
          <w:rPr>
            <w:noProof/>
            <w:webHidden/>
          </w:rPr>
          <w:fldChar w:fldCharType="end"/>
        </w:r>
      </w:hyperlink>
    </w:p>
    <w:p w14:paraId="15DE4E35" w14:textId="77777777"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225" w:history="1">
        <w:r w:rsidR="00724D8F" w:rsidRPr="00724D8F">
          <w:rPr>
            <w:rStyle w:val="Hyperlink"/>
            <w:noProof/>
          </w:rPr>
          <w:t>5</w:t>
        </w:r>
        <w:r w:rsidR="00724D8F" w:rsidRPr="00724D8F">
          <w:rPr>
            <w:rFonts w:eastAsiaTheme="minorEastAsia" w:cstheme="minorBidi"/>
            <w:b w:val="0"/>
            <w:bCs w:val="0"/>
            <w:caps w:val="0"/>
            <w:noProof/>
            <w:lang w:val="en-GB" w:eastAsia="en-GB" w:bidi="ar-SA"/>
          </w:rPr>
          <w:tab/>
        </w:r>
        <w:r w:rsidR="00724D8F" w:rsidRPr="00724D8F">
          <w:rPr>
            <w:rStyle w:val="Hyperlink"/>
            <w:noProof/>
          </w:rPr>
          <w:t>Dietary exposure assessment</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_Toc477274225 \h </w:instrText>
        </w:r>
        <w:r w:rsidR="00724D8F" w:rsidRPr="00724D8F">
          <w:rPr>
            <w:noProof/>
            <w:webHidden/>
          </w:rPr>
        </w:r>
        <w:r w:rsidR="00724D8F" w:rsidRPr="00724D8F">
          <w:rPr>
            <w:noProof/>
            <w:webHidden/>
          </w:rPr>
          <w:fldChar w:fldCharType="separate"/>
        </w:r>
        <w:r w:rsidR="007A55E8">
          <w:rPr>
            <w:noProof/>
            <w:webHidden/>
          </w:rPr>
          <w:t>17</w:t>
        </w:r>
        <w:r w:rsidR="00724D8F" w:rsidRPr="00724D8F">
          <w:rPr>
            <w:noProof/>
            <w:webHidden/>
          </w:rPr>
          <w:fldChar w:fldCharType="end"/>
        </w:r>
      </w:hyperlink>
    </w:p>
    <w:p w14:paraId="0C6B157C"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26" w:history="1">
        <w:r w:rsidR="00724D8F" w:rsidRPr="00724D8F">
          <w:rPr>
            <w:rStyle w:val="Hyperlink"/>
            <w:noProof/>
          </w:rPr>
          <w:t>5.1</w:t>
        </w:r>
        <w:r w:rsidR="00724D8F" w:rsidRPr="00724D8F">
          <w:rPr>
            <w:rFonts w:eastAsiaTheme="minorEastAsia" w:cstheme="minorBidi"/>
            <w:smallCaps w:val="0"/>
            <w:noProof/>
            <w:lang w:val="en-GB" w:eastAsia="en-GB" w:bidi="ar-SA"/>
          </w:rPr>
          <w:tab/>
        </w:r>
        <w:r w:rsidR="00724D8F" w:rsidRPr="00724D8F">
          <w:rPr>
            <w:rStyle w:val="Hyperlink"/>
            <w:noProof/>
          </w:rPr>
          <w:t>Background</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_Toc477274226 \h </w:instrText>
        </w:r>
        <w:r w:rsidR="00724D8F" w:rsidRPr="00724D8F">
          <w:rPr>
            <w:noProof/>
            <w:webHidden/>
          </w:rPr>
        </w:r>
        <w:r w:rsidR="00724D8F" w:rsidRPr="00724D8F">
          <w:rPr>
            <w:noProof/>
            <w:webHidden/>
          </w:rPr>
          <w:fldChar w:fldCharType="separate"/>
        </w:r>
        <w:r w:rsidR="007A55E8">
          <w:rPr>
            <w:noProof/>
            <w:webHidden/>
          </w:rPr>
          <w:t>17</w:t>
        </w:r>
        <w:r w:rsidR="00724D8F" w:rsidRPr="00724D8F">
          <w:rPr>
            <w:noProof/>
            <w:webHidden/>
          </w:rPr>
          <w:fldChar w:fldCharType="end"/>
        </w:r>
      </w:hyperlink>
    </w:p>
    <w:p w14:paraId="0323DB71"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27" w:history="1">
        <w:r w:rsidR="00724D8F" w:rsidRPr="00724D8F">
          <w:rPr>
            <w:rStyle w:val="Hyperlink"/>
            <w:noProof/>
          </w:rPr>
          <w:t>5.2</w:t>
        </w:r>
        <w:r w:rsidR="00724D8F" w:rsidRPr="00724D8F">
          <w:rPr>
            <w:rFonts w:eastAsiaTheme="minorEastAsia" w:cstheme="minorBidi"/>
            <w:smallCaps w:val="0"/>
            <w:noProof/>
            <w:lang w:val="en-GB" w:eastAsia="en-GB" w:bidi="ar-SA"/>
          </w:rPr>
          <w:tab/>
        </w:r>
        <w:r w:rsidR="00724D8F" w:rsidRPr="00724D8F">
          <w:rPr>
            <w:rStyle w:val="Hyperlink"/>
            <w:noProof/>
          </w:rPr>
          <w:t>Objective and approach</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_Toc477274227 \h </w:instrText>
        </w:r>
        <w:r w:rsidR="00724D8F" w:rsidRPr="00724D8F">
          <w:rPr>
            <w:noProof/>
            <w:webHidden/>
          </w:rPr>
        </w:r>
        <w:r w:rsidR="00724D8F" w:rsidRPr="00724D8F">
          <w:rPr>
            <w:noProof/>
            <w:webHidden/>
          </w:rPr>
          <w:fldChar w:fldCharType="separate"/>
        </w:r>
        <w:r w:rsidR="007A55E8">
          <w:rPr>
            <w:noProof/>
            <w:webHidden/>
          </w:rPr>
          <w:t>18</w:t>
        </w:r>
        <w:r w:rsidR="00724D8F" w:rsidRPr="00724D8F">
          <w:rPr>
            <w:noProof/>
            <w:webHidden/>
          </w:rPr>
          <w:fldChar w:fldCharType="end"/>
        </w:r>
      </w:hyperlink>
    </w:p>
    <w:p w14:paraId="11A623AB"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28" w:history="1">
        <w:r w:rsidR="00724D8F" w:rsidRPr="00724D8F">
          <w:rPr>
            <w:rStyle w:val="Hyperlink"/>
            <w:noProof/>
            <w:lang w:eastAsia="en-AU"/>
          </w:rPr>
          <w:t>5.3</w:t>
        </w:r>
        <w:r w:rsidR="00724D8F" w:rsidRPr="00724D8F">
          <w:rPr>
            <w:rFonts w:eastAsiaTheme="minorEastAsia" w:cstheme="minorBidi"/>
            <w:smallCaps w:val="0"/>
            <w:noProof/>
            <w:lang w:val="en-GB" w:eastAsia="en-GB" w:bidi="ar-SA"/>
          </w:rPr>
          <w:tab/>
        </w:r>
        <w:r w:rsidR="00724D8F" w:rsidRPr="00724D8F">
          <w:rPr>
            <w:rStyle w:val="Hyperlink"/>
            <w:noProof/>
            <w:lang w:eastAsia="en-AU"/>
          </w:rPr>
          <w:t>Methods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_Toc477274228 \h </w:instrText>
        </w:r>
        <w:r w:rsidR="00724D8F" w:rsidRPr="00724D8F">
          <w:rPr>
            <w:noProof/>
            <w:webHidden/>
          </w:rPr>
        </w:r>
        <w:r w:rsidR="00724D8F" w:rsidRPr="00724D8F">
          <w:rPr>
            <w:noProof/>
            <w:webHidden/>
          </w:rPr>
          <w:fldChar w:fldCharType="separate"/>
        </w:r>
        <w:r w:rsidR="007A55E8">
          <w:rPr>
            <w:noProof/>
            <w:webHidden/>
          </w:rPr>
          <w:t>18</w:t>
        </w:r>
        <w:r w:rsidR="00724D8F" w:rsidRPr="00724D8F">
          <w:rPr>
            <w:noProof/>
            <w:webHidden/>
          </w:rPr>
          <w:fldChar w:fldCharType="end"/>
        </w:r>
      </w:hyperlink>
    </w:p>
    <w:p w14:paraId="2DB311A5"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29" w:history="1">
        <w:r w:rsidR="00724D8F" w:rsidRPr="00724D8F">
          <w:rPr>
            <w:rStyle w:val="Hyperlink"/>
            <w:noProof/>
          </w:rPr>
          <w:t>5.3.1</w:t>
        </w:r>
        <w:r w:rsidR="00724D8F" w:rsidRPr="00724D8F">
          <w:rPr>
            <w:rFonts w:eastAsiaTheme="minorEastAsia" w:cstheme="minorBidi"/>
            <w:i w:val="0"/>
            <w:iCs w:val="0"/>
            <w:noProof/>
            <w:lang w:val="en-GB" w:eastAsia="en-GB" w:bidi="ar-SA"/>
          </w:rPr>
          <w:tab/>
        </w:r>
        <w:r w:rsidR="00724D8F" w:rsidRPr="00724D8F">
          <w:rPr>
            <w:rStyle w:val="Hyperlink"/>
            <w:noProof/>
          </w:rPr>
          <w:t>Food consumption data</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_Toc477274229 \h </w:instrText>
        </w:r>
        <w:r w:rsidR="00724D8F" w:rsidRPr="00724D8F">
          <w:rPr>
            <w:noProof/>
            <w:webHidden/>
          </w:rPr>
        </w:r>
        <w:r w:rsidR="00724D8F" w:rsidRPr="00724D8F">
          <w:rPr>
            <w:noProof/>
            <w:webHidden/>
          </w:rPr>
          <w:fldChar w:fldCharType="separate"/>
        </w:r>
        <w:r w:rsidR="007A55E8">
          <w:rPr>
            <w:noProof/>
            <w:webHidden/>
          </w:rPr>
          <w:t>18</w:t>
        </w:r>
        <w:r w:rsidR="00724D8F" w:rsidRPr="00724D8F">
          <w:rPr>
            <w:noProof/>
            <w:webHidden/>
          </w:rPr>
          <w:fldChar w:fldCharType="end"/>
        </w:r>
      </w:hyperlink>
    </w:p>
    <w:p w14:paraId="49B8AC1A"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30" w:history="1">
        <w:r w:rsidR="00724D8F" w:rsidRPr="00724D8F">
          <w:rPr>
            <w:rStyle w:val="Hyperlink"/>
            <w:noProof/>
          </w:rPr>
          <w:t>5.3.2</w:t>
        </w:r>
        <w:r w:rsidR="00724D8F" w:rsidRPr="00724D8F">
          <w:rPr>
            <w:rFonts w:eastAsiaTheme="minorEastAsia" w:cstheme="minorBidi"/>
            <w:i w:val="0"/>
            <w:iCs w:val="0"/>
            <w:noProof/>
            <w:lang w:val="en-GB" w:eastAsia="en-GB" w:bidi="ar-SA"/>
          </w:rPr>
          <w:tab/>
        </w:r>
        <w:r w:rsidR="00724D8F" w:rsidRPr="00724D8F">
          <w:rPr>
            <w:rStyle w:val="Hyperlink"/>
            <w:noProof/>
          </w:rPr>
          <w:t>Concentrations of plant sterols in foods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_Toc477274230 \h </w:instrText>
        </w:r>
        <w:r w:rsidR="00724D8F" w:rsidRPr="00724D8F">
          <w:rPr>
            <w:noProof/>
            <w:webHidden/>
          </w:rPr>
        </w:r>
        <w:r w:rsidR="00724D8F" w:rsidRPr="00724D8F">
          <w:rPr>
            <w:noProof/>
            <w:webHidden/>
          </w:rPr>
          <w:fldChar w:fldCharType="separate"/>
        </w:r>
        <w:r w:rsidR="007A55E8">
          <w:rPr>
            <w:noProof/>
            <w:webHidden/>
          </w:rPr>
          <w:t>19</w:t>
        </w:r>
        <w:r w:rsidR="00724D8F" w:rsidRPr="00724D8F">
          <w:rPr>
            <w:noProof/>
            <w:webHidden/>
          </w:rPr>
          <w:fldChar w:fldCharType="end"/>
        </w:r>
      </w:hyperlink>
    </w:p>
    <w:p w14:paraId="4CAF2E06"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31" w:history="1">
        <w:r w:rsidR="00724D8F" w:rsidRPr="00724D8F">
          <w:rPr>
            <w:rStyle w:val="Hyperlink"/>
            <w:noProof/>
          </w:rPr>
          <w:t>5.3.3</w:t>
        </w:r>
        <w:r w:rsidR="00724D8F" w:rsidRPr="00724D8F">
          <w:rPr>
            <w:rFonts w:eastAsiaTheme="minorEastAsia" w:cstheme="minorBidi"/>
            <w:i w:val="0"/>
            <w:iCs w:val="0"/>
            <w:noProof/>
            <w:lang w:val="en-GB" w:eastAsia="en-GB" w:bidi="ar-SA"/>
          </w:rPr>
          <w:tab/>
        </w:r>
        <w:r w:rsidR="00724D8F" w:rsidRPr="00724D8F">
          <w:rPr>
            <w:rStyle w:val="Hyperlink"/>
            <w:noProof/>
          </w:rPr>
          <w:t>Age groups assessed</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_Toc477274231 \h </w:instrText>
        </w:r>
        <w:r w:rsidR="00724D8F" w:rsidRPr="00724D8F">
          <w:rPr>
            <w:noProof/>
            <w:webHidden/>
          </w:rPr>
        </w:r>
        <w:r w:rsidR="00724D8F" w:rsidRPr="00724D8F">
          <w:rPr>
            <w:noProof/>
            <w:webHidden/>
          </w:rPr>
          <w:fldChar w:fldCharType="separate"/>
        </w:r>
        <w:r w:rsidR="007A55E8">
          <w:rPr>
            <w:noProof/>
            <w:webHidden/>
          </w:rPr>
          <w:t>20</w:t>
        </w:r>
        <w:r w:rsidR="00724D8F" w:rsidRPr="00724D8F">
          <w:rPr>
            <w:noProof/>
            <w:webHidden/>
          </w:rPr>
          <w:fldChar w:fldCharType="end"/>
        </w:r>
      </w:hyperlink>
    </w:p>
    <w:p w14:paraId="77856814"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32" w:history="1">
        <w:r w:rsidR="00724D8F" w:rsidRPr="00724D8F">
          <w:rPr>
            <w:rStyle w:val="Hyperlink"/>
            <w:noProof/>
          </w:rPr>
          <w:t>5.3.4</w:t>
        </w:r>
        <w:r w:rsidR="00724D8F" w:rsidRPr="00724D8F">
          <w:rPr>
            <w:rFonts w:eastAsiaTheme="minorEastAsia" w:cstheme="minorBidi"/>
            <w:i w:val="0"/>
            <w:iCs w:val="0"/>
            <w:noProof/>
            <w:lang w:val="en-GB" w:eastAsia="en-GB" w:bidi="ar-SA"/>
          </w:rPr>
          <w:tab/>
        </w:r>
        <w:r w:rsidR="00724D8F" w:rsidRPr="00724D8F">
          <w:rPr>
            <w:rStyle w:val="Hyperlink"/>
            <w:noProof/>
          </w:rPr>
          <w:t>Calculation of dietary exposure estimates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_Toc477274232 \h </w:instrText>
        </w:r>
        <w:r w:rsidR="00724D8F" w:rsidRPr="00724D8F">
          <w:rPr>
            <w:noProof/>
            <w:webHidden/>
          </w:rPr>
        </w:r>
        <w:r w:rsidR="00724D8F" w:rsidRPr="00724D8F">
          <w:rPr>
            <w:noProof/>
            <w:webHidden/>
          </w:rPr>
          <w:fldChar w:fldCharType="separate"/>
        </w:r>
        <w:r w:rsidR="007A55E8">
          <w:rPr>
            <w:noProof/>
            <w:webHidden/>
          </w:rPr>
          <w:t>21</w:t>
        </w:r>
        <w:r w:rsidR="00724D8F" w:rsidRPr="00724D8F">
          <w:rPr>
            <w:noProof/>
            <w:webHidden/>
          </w:rPr>
          <w:fldChar w:fldCharType="end"/>
        </w:r>
      </w:hyperlink>
    </w:p>
    <w:p w14:paraId="53F6C78B"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33" w:history="1">
        <w:r w:rsidR="00724D8F" w:rsidRPr="00724D8F">
          <w:rPr>
            <w:rStyle w:val="Hyperlink"/>
            <w:noProof/>
          </w:rPr>
          <w:t>5.4</w:t>
        </w:r>
        <w:r w:rsidR="00724D8F" w:rsidRPr="00724D8F">
          <w:rPr>
            <w:rFonts w:eastAsiaTheme="minorEastAsia" w:cstheme="minorBidi"/>
            <w:smallCaps w:val="0"/>
            <w:noProof/>
            <w:lang w:val="en-GB" w:eastAsia="en-GB" w:bidi="ar-SA"/>
          </w:rPr>
          <w:tab/>
        </w:r>
        <w:r w:rsidR="00724D8F" w:rsidRPr="00724D8F">
          <w:rPr>
            <w:rStyle w:val="Hyperlink"/>
            <w:noProof/>
          </w:rPr>
          <w:t>Dietary exposure assessment results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_Toc477274233 \h </w:instrText>
        </w:r>
        <w:r w:rsidR="00724D8F" w:rsidRPr="00724D8F">
          <w:rPr>
            <w:noProof/>
            <w:webHidden/>
          </w:rPr>
        </w:r>
        <w:r w:rsidR="00724D8F" w:rsidRPr="00724D8F">
          <w:rPr>
            <w:noProof/>
            <w:webHidden/>
          </w:rPr>
          <w:fldChar w:fldCharType="separate"/>
        </w:r>
        <w:r w:rsidR="007A55E8">
          <w:rPr>
            <w:noProof/>
            <w:webHidden/>
          </w:rPr>
          <w:t>22</w:t>
        </w:r>
        <w:r w:rsidR="00724D8F" w:rsidRPr="00724D8F">
          <w:rPr>
            <w:noProof/>
            <w:webHidden/>
          </w:rPr>
          <w:fldChar w:fldCharType="end"/>
        </w:r>
      </w:hyperlink>
    </w:p>
    <w:p w14:paraId="3D51F823"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34" w:history="1">
        <w:r w:rsidR="00724D8F" w:rsidRPr="00724D8F">
          <w:rPr>
            <w:rStyle w:val="Hyperlink"/>
            <w:noProof/>
          </w:rPr>
          <w:t>5.4.1</w:t>
        </w:r>
        <w:r w:rsidR="00724D8F" w:rsidRPr="00724D8F">
          <w:rPr>
            <w:rFonts w:eastAsiaTheme="minorEastAsia" w:cstheme="minorBidi"/>
            <w:i w:val="0"/>
            <w:iCs w:val="0"/>
            <w:noProof/>
            <w:lang w:val="en-GB" w:eastAsia="en-GB" w:bidi="ar-SA"/>
          </w:rPr>
          <w:tab/>
        </w:r>
        <w:r w:rsidR="00724D8F" w:rsidRPr="00724D8F">
          <w:rPr>
            <w:rStyle w:val="Hyperlink"/>
            <w:noProof/>
          </w:rPr>
          <w:t>Baseline plant sterol exposure from foods with added plant sterols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_Toc477274234 \h </w:instrText>
        </w:r>
        <w:r w:rsidR="00724D8F" w:rsidRPr="00724D8F">
          <w:rPr>
            <w:noProof/>
            <w:webHidden/>
          </w:rPr>
        </w:r>
        <w:r w:rsidR="00724D8F" w:rsidRPr="00724D8F">
          <w:rPr>
            <w:noProof/>
            <w:webHidden/>
          </w:rPr>
          <w:fldChar w:fldCharType="separate"/>
        </w:r>
        <w:r w:rsidR="007A55E8">
          <w:rPr>
            <w:noProof/>
            <w:webHidden/>
          </w:rPr>
          <w:t>22</w:t>
        </w:r>
        <w:r w:rsidR="00724D8F" w:rsidRPr="00724D8F">
          <w:rPr>
            <w:noProof/>
            <w:webHidden/>
          </w:rPr>
          <w:fldChar w:fldCharType="end"/>
        </w:r>
      </w:hyperlink>
    </w:p>
    <w:p w14:paraId="0CA92BFD"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35" w:history="1">
        <w:r w:rsidR="00724D8F" w:rsidRPr="00724D8F">
          <w:rPr>
            <w:rStyle w:val="Hyperlink"/>
            <w:noProof/>
          </w:rPr>
          <w:t>5.4.2</w:t>
        </w:r>
        <w:r w:rsidR="00724D8F" w:rsidRPr="00724D8F">
          <w:rPr>
            <w:rFonts w:eastAsiaTheme="minorEastAsia" w:cstheme="minorBidi"/>
            <w:i w:val="0"/>
            <w:iCs w:val="0"/>
            <w:noProof/>
            <w:lang w:val="en-GB" w:eastAsia="en-GB" w:bidi="ar-SA"/>
          </w:rPr>
          <w:tab/>
        </w:r>
        <w:r w:rsidR="00724D8F" w:rsidRPr="00724D8F">
          <w:rPr>
            <w:rStyle w:val="Hyperlink"/>
            <w:noProof/>
          </w:rPr>
          <w:t>Estimated total dietary plant sterol exposure – per portion approach</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_Toc477274235 \h </w:instrText>
        </w:r>
        <w:r w:rsidR="00724D8F" w:rsidRPr="00724D8F">
          <w:rPr>
            <w:noProof/>
            <w:webHidden/>
          </w:rPr>
        </w:r>
        <w:r w:rsidR="00724D8F" w:rsidRPr="00724D8F">
          <w:rPr>
            <w:noProof/>
            <w:webHidden/>
          </w:rPr>
          <w:fldChar w:fldCharType="separate"/>
        </w:r>
        <w:r w:rsidR="007A55E8">
          <w:rPr>
            <w:noProof/>
            <w:webHidden/>
          </w:rPr>
          <w:t>25</w:t>
        </w:r>
        <w:r w:rsidR="00724D8F" w:rsidRPr="00724D8F">
          <w:rPr>
            <w:noProof/>
            <w:webHidden/>
          </w:rPr>
          <w:fldChar w:fldCharType="end"/>
        </w:r>
      </w:hyperlink>
    </w:p>
    <w:p w14:paraId="51093125"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36" w:history="1">
        <w:r w:rsidR="00724D8F" w:rsidRPr="00724D8F">
          <w:rPr>
            <w:rStyle w:val="Hyperlink"/>
            <w:noProof/>
          </w:rPr>
          <w:t>5.4.3</w:t>
        </w:r>
        <w:r w:rsidR="00724D8F" w:rsidRPr="00724D8F">
          <w:rPr>
            <w:rFonts w:eastAsiaTheme="minorEastAsia" w:cstheme="minorBidi"/>
            <w:i w:val="0"/>
            <w:iCs w:val="0"/>
            <w:noProof/>
            <w:lang w:val="en-GB" w:eastAsia="en-GB" w:bidi="ar-SA"/>
          </w:rPr>
          <w:tab/>
        </w:r>
        <w:r w:rsidR="00724D8F" w:rsidRPr="00724D8F">
          <w:rPr>
            <w:rStyle w:val="Hyperlink"/>
            <w:noProof/>
          </w:rPr>
          <w:t>Estimated total dietary plant sterol exposure - scenario modelling approach</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_Toc477274236 \h </w:instrText>
        </w:r>
        <w:r w:rsidR="00724D8F" w:rsidRPr="00724D8F">
          <w:rPr>
            <w:noProof/>
            <w:webHidden/>
          </w:rPr>
        </w:r>
        <w:r w:rsidR="00724D8F" w:rsidRPr="00724D8F">
          <w:rPr>
            <w:noProof/>
            <w:webHidden/>
          </w:rPr>
          <w:fldChar w:fldCharType="separate"/>
        </w:r>
        <w:r w:rsidR="007A55E8">
          <w:rPr>
            <w:noProof/>
            <w:webHidden/>
          </w:rPr>
          <w:t>26</w:t>
        </w:r>
        <w:r w:rsidR="00724D8F" w:rsidRPr="00724D8F">
          <w:rPr>
            <w:noProof/>
            <w:webHidden/>
          </w:rPr>
          <w:fldChar w:fldCharType="end"/>
        </w:r>
      </w:hyperlink>
    </w:p>
    <w:p w14:paraId="68AF4709" w14:textId="77777777" w:rsidR="00724D8F" w:rsidRPr="00724D8F" w:rsidRDefault="00A272E7">
      <w:pPr>
        <w:pStyle w:val="TOC2"/>
        <w:tabs>
          <w:tab w:val="left" w:pos="880"/>
          <w:tab w:val="right" w:leader="dot" w:pos="9060"/>
        </w:tabs>
        <w:rPr>
          <w:rFonts w:eastAsiaTheme="minorEastAsia" w:cstheme="minorBidi"/>
          <w:smallCaps w:val="0"/>
          <w:noProof/>
          <w:lang w:val="en-GB" w:eastAsia="en-GB" w:bidi="ar-SA"/>
        </w:rPr>
      </w:pPr>
      <w:hyperlink w:anchor="_Toc477274237" w:history="1">
        <w:r w:rsidR="00724D8F" w:rsidRPr="00724D8F">
          <w:rPr>
            <w:rStyle w:val="Hyperlink"/>
            <w:noProof/>
          </w:rPr>
          <w:t>5.5</w:t>
        </w:r>
        <w:r w:rsidR="00724D8F" w:rsidRPr="00724D8F">
          <w:rPr>
            <w:rFonts w:eastAsiaTheme="minorEastAsia" w:cstheme="minorBidi"/>
            <w:smallCaps w:val="0"/>
            <w:noProof/>
            <w:lang w:val="en-GB" w:eastAsia="en-GB" w:bidi="ar-SA"/>
          </w:rPr>
          <w:tab/>
        </w:r>
        <w:r w:rsidR="00724D8F" w:rsidRPr="00724D8F">
          <w:rPr>
            <w:rStyle w:val="Hyperlink"/>
            <w:noProof/>
          </w:rPr>
          <w:t>Dietary exposure assessment conclusion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_Toc477274237 \h </w:instrText>
        </w:r>
        <w:r w:rsidR="00724D8F" w:rsidRPr="00724D8F">
          <w:rPr>
            <w:noProof/>
            <w:webHidden/>
          </w:rPr>
        </w:r>
        <w:r w:rsidR="00724D8F" w:rsidRPr="00724D8F">
          <w:rPr>
            <w:noProof/>
            <w:webHidden/>
          </w:rPr>
          <w:fldChar w:fldCharType="separate"/>
        </w:r>
        <w:r w:rsidR="007A55E8">
          <w:rPr>
            <w:noProof/>
            <w:webHidden/>
          </w:rPr>
          <w:t>27</w:t>
        </w:r>
        <w:r w:rsidR="00724D8F" w:rsidRPr="00724D8F">
          <w:rPr>
            <w:noProof/>
            <w:webHidden/>
          </w:rPr>
          <w:fldChar w:fldCharType="end"/>
        </w:r>
      </w:hyperlink>
    </w:p>
    <w:p w14:paraId="27450202" w14:textId="77777777"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238" w:history="1">
        <w:r w:rsidR="00724D8F" w:rsidRPr="00724D8F">
          <w:rPr>
            <w:rStyle w:val="Hyperlink"/>
            <w:noProof/>
          </w:rPr>
          <w:t>6</w:t>
        </w:r>
        <w:r w:rsidR="00724D8F" w:rsidRPr="00724D8F">
          <w:rPr>
            <w:rFonts w:eastAsiaTheme="minorEastAsia" w:cstheme="minorBidi"/>
            <w:b w:val="0"/>
            <w:bCs w:val="0"/>
            <w:caps w:val="0"/>
            <w:noProof/>
            <w:lang w:val="en-GB" w:eastAsia="en-GB" w:bidi="ar-SA"/>
          </w:rPr>
          <w:tab/>
        </w:r>
        <w:r w:rsidR="00724D8F" w:rsidRPr="00724D8F">
          <w:rPr>
            <w:rStyle w:val="Hyperlink"/>
            <w:noProof/>
          </w:rPr>
          <w:t>Uncertainties in the risk assessment</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_Toc477274238 \h </w:instrText>
        </w:r>
        <w:r w:rsidR="00724D8F" w:rsidRPr="00724D8F">
          <w:rPr>
            <w:noProof/>
            <w:webHidden/>
          </w:rPr>
        </w:r>
        <w:r w:rsidR="00724D8F" w:rsidRPr="00724D8F">
          <w:rPr>
            <w:noProof/>
            <w:webHidden/>
          </w:rPr>
          <w:fldChar w:fldCharType="separate"/>
        </w:r>
        <w:r w:rsidR="007A55E8">
          <w:rPr>
            <w:noProof/>
            <w:webHidden/>
          </w:rPr>
          <w:t>28</w:t>
        </w:r>
        <w:r w:rsidR="00724D8F" w:rsidRPr="00724D8F">
          <w:rPr>
            <w:noProof/>
            <w:webHidden/>
          </w:rPr>
          <w:fldChar w:fldCharType="end"/>
        </w:r>
      </w:hyperlink>
    </w:p>
    <w:p w14:paraId="1D6AC31F" w14:textId="77777777"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239" w:history="1">
        <w:r w:rsidR="00724D8F" w:rsidRPr="00724D8F">
          <w:rPr>
            <w:rStyle w:val="Hyperlink"/>
            <w:noProof/>
          </w:rPr>
          <w:t>7</w:t>
        </w:r>
        <w:r w:rsidR="00724D8F" w:rsidRPr="00724D8F">
          <w:rPr>
            <w:rFonts w:eastAsiaTheme="minorEastAsia" w:cstheme="minorBidi"/>
            <w:b w:val="0"/>
            <w:bCs w:val="0"/>
            <w:caps w:val="0"/>
            <w:noProof/>
            <w:lang w:val="en-GB" w:eastAsia="en-GB" w:bidi="ar-SA"/>
          </w:rPr>
          <w:tab/>
        </w:r>
        <w:r w:rsidR="00724D8F" w:rsidRPr="00724D8F">
          <w:rPr>
            <w:rStyle w:val="Hyperlink"/>
            <w:noProof/>
          </w:rPr>
          <w:t>Conclusions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_Toc477274239 \h </w:instrText>
        </w:r>
        <w:r w:rsidR="00724D8F" w:rsidRPr="00724D8F">
          <w:rPr>
            <w:noProof/>
            <w:webHidden/>
          </w:rPr>
        </w:r>
        <w:r w:rsidR="00724D8F" w:rsidRPr="00724D8F">
          <w:rPr>
            <w:noProof/>
            <w:webHidden/>
          </w:rPr>
          <w:fldChar w:fldCharType="separate"/>
        </w:r>
        <w:r w:rsidR="007A55E8">
          <w:rPr>
            <w:noProof/>
            <w:webHidden/>
          </w:rPr>
          <w:t>28</w:t>
        </w:r>
        <w:r w:rsidR="00724D8F" w:rsidRPr="00724D8F">
          <w:rPr>
            <w:noProof/>
            <w:webHidden/>
          </w:rPr>
          <w:fldChar w:fldCharType="end"/>
        </w:r>
      </w:hyperlink>
    </w:p>
    <w:p w14:paraId="2AFC260D" w14:textId="77777777" w:rsidR="00724D8F" w:rsidRPr="00724D8F" w:rsidRDefault="00724D8F">
      <w:pPr>
        <w:pStyle w:val="TOC1"/>
        <w:tabs>
          <w:tab w:val="left" w:pos="440"/>
          <w:tab w:val="right" w:leader="dot" w:pos="9060"/>
        </w:tabs>
        <w:rPr>
          <w:rStyle w:val="Hyperlink"/>
          <w:noProof/>
        </w:rPr>
      </w:pPr>
      <w:r w:rsidRPr="00724D8F">
        <w:rPr>
          <w:rStyle w:val="Hyperlink"/>
          <w:noProof/>
        </w:rPr>
        <w:br w:type="page"/>
      </w:r>
    </w:p>
    <w:p w14:paraId="23CC3F2D" w14:textId="18986F8D" w:rsidR="00724D8F" w:rsidRPr="00724D8F" w:rsidRDefault="00A272E7">
      <w:pPr>
        <w:pStyle w:val="TOC1"/>
        <w:tabs>
          <w:tab w:val="left" w:pos="440"/>
          <w:tab w:val="right" w:leader="dot" w:pos="9060"/>
        </w:tabs>
        <w:rPr>
          <w:rFonts w:eastAsiaTheme="minorEastAsia" w:cstheme="minorBidi"/>
          <w:b w:val="0"/>
          <w:bCs w:val="0"/>
          <w:caps w:val="0"/>
          <w:noProof/>
          <w:lang w:val="en-GB" w:eastAsia="en-GB" w:bidi="ar-SA"/>
        </w:rPr>
      </w:pPr>
      <w:hyperlink w:anchor="_Toc477274240" w:history="1">
        <w:r w:rsidR="00724D8F" w:rsidRPr="00724D8F">
          <w:rPr>
            <w:rStyle w:val="Hyperlink"/>
            <w:noProof/>
          </w:rPr>
          <w:t>8</w:t>
        </w:r>
        <w:r w:rsidR="00724D8F" w:rsidRPr="00724D8F">
          <w:rPr>
            <w:rFonts w:eastAsiaTheme="minorEastAsia" w:cstheme="minorBidi"/>
            <w:b w:val="0"/>
            <w:bCs w:val="0"/>
            <w:caps w:val="0"/>
            <w:noProof/>
            <w:lang w:val="en-GB" w:eastAsia="en-GB" w:bidi="ar-SA"/>
          </w:rPr>
          <w:tab/>
        </w:r>
        <w:r w:rsidR="00724D8F" w:rsidRPr="00724D8F">
          <w:rPr>
            <w:rStyle w:val="Hyperlink"/>
            <w:noProof/>
          </w:rPr>
          <w:t>References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_Toc477274240 \h </w:instrText>
        </w:r>
        <w:r w:rsidR="00724D8F" w:rsidRPr="00724D8F">
          <w:rPr>
            <w:noProof/>
            <w:webHidden/>
          </w:rPr>
        </w:r>
        <w:r w:rsidR="00724D8F" w:rsidRPr="00724D8F">
          <w:rPr>
            <w:noProof/>
            <w:webHidden/>
          </w:rPr>
          <w:fldChar w:fldCharType="separate"/>
        </w:r>
        <w:r w:rsidR="007A55E8">
          <w:rPr>
            <w:noProof/>
            <w:webHidden/>
          </w:rPr>
          <w:t>29</w:t>
        </w:r>
        <w:r w:rsidR="00724D8F" w:rsidRPr="00724D8F">
          <w:rPr>
            <w:noProof/>
            <w:webHidden/>
          </w:rPr>
          <w:fldChar w:fldCharType="end"/>
        </w:r>
      </w:hyperlink>
    </w:p>
    <w:p w14:paraId="6DA05CB0" w14:textId="77777777" w:rsidR="00724D8F" w:rsidRPr="00724D8F" w:rsidRDefault="00A272E7">
      <w:pPr>
        <w:pStyle w:val="TOC2"/>
        <w:tabs>
          <w:tab w:val="right" w:leader="dot" w:pos="9060"/>
        </w:tabs>
        <w:rPr>
          <w:rFonts w:eastAsiaTheme="minorEastAsia" w:cstheme="minorBidi"/>
          <w:smallCaps w:val="0"/>
          <w:noProof/>
          <w:lang w:val="en-GB" w:eastAsia="en-GB" w:bidi="ar-SA"/>
        </w:rPr>
      </w:pPr>
      <w:hyperlink w:anchor="_Toc477274241" w:history="1">
        <w:r w:rsidR="00724D8F" w:rsidRPr="00724D8F">
          <w:rPr>
            <w:rStyle w:val="Hyperlink"/>
            <w:noProof/>
            <w:lang w:eastAsia="en-AU"/>
          </w:rPr>
          <w:t>Appendix 1: Dietary exposure assessments at FSANZ</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_Toc477274241 \h </w:instrText>
        </w:r>
        <w:r w:rsidR="00724D8F" w:rsidRPr="00724D8F">
          <w:rPr>
            <w:noProof/>
            <w:webHidden/>
          </w:rPr>
        </w:r>
        <w:r w:rsidR="00724D8F" w:rsidRPr="00724D8F">
          <w:rPr>
            <w:noProof/>
            <w:webHidden/>
          </w:rPr>
          <w:fldChar w:fldCharType="separate"/>
        </w:r>
        <w:r w:rsidR="007A55E8">
          <w:rPr>
            <w:noProof/>
            <w:webHidden/>
          </w:rPr>
          <w:t>36</w:t>
        </w:r>
        <w:r w:rsidR="00724D8F" w:rsidRPr="00724D8F">
          <w:rPr>
            <w:noProof/>
            <w:webHidden/>
          </w:rPr>
          <w:fldChar w:fldCharType="end"/>
        </w:r>
      </w:hyperlink>
    </w:p>
    <w:p w14:paraId="3C10C6BF" w14:textId="77777777" w:rsidR="00724D8F" w:rsidRPr="00724D8F" w:rsidRDefault="00A272E7">
      <w:pPr>
        <w:pStyle w:val="TOC3"/>
        <w:tabs>
          <w:tab w:val="right" w:leader="dot" w:pos="9060"/>
        </w:tabs>
        <w:rPr>
          <w:rFonts w:eastAsiaTheme="minorEastAsia" w:cstheme="minorBidi"/>
          <w:i w:val="0"/>
          <w:iCs w:val="0"/>
          <w:noProof/>
          <w:lang w:val="en-GB" w:eastAsia="en-GB" w:bidi="ar-SA"/>
        </w:rPr>
      </w:pPr>
      <w:hyperlink w:anchor="_Toc477274242" w:history="1">
        <w:r w:rsidR="00724D8F" w:rsidRPr="00724D8F">
          <w:rPr>
            <w:rStyle w:val="Hyperlink"/>
            <w:noProof/>
          </w:rPr>
          <w:t>Dietary exposure = food chemical concentration x food consumption</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_Toc477274242 \h </w:instrText>
        </w:r>
        <w:r w:rsidR="00724D8F" w:rsidRPr="00724D8F">
          <w:rPr>
            <w:noProof/>
            <w:webHidden/>
          </w:rPr>
        </w:r>
        <w:r w:rsidR="00724D8F" w:rsidRPr="00724D8F">
          <w:rPr>
            <w:noProof/>
            <w:webHidden/>
          </w:rPr>
          <w:fldChar w:fldCharType="separate"/>
        </w:r>
        <w:r w:rsidR="007A55E8">
          <w:rPr>
            <w:noProof/>
            <w:webHidden/>
          </w:rPr>
          <w:t>36</w:t>
        </w:r>
        <w:r w:rsidR="00724D8F" w:rsidRPr="00724D8F">
          <w:rPr>
            <w:noProof/>
            <w:webHidden/>
          </w:rPr>
          <w:fldChar w:fldCharType="end"/>
        </w:r>
      </w:hyperlink>
    </w:p>
    <w:p w14:paraId="6AA55C22"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43" w:history="1">
        <w:r w:rsidR="00724D8F" w:rsidRPr="00724D8F">
          <w:rPr>
            <w:rStyle w:val="Hyperlink"/>
            <w:noProof/>
          </w:rPr>
          <w:t>A1.1</w:t>
        </w:r>
        <w:r w:rsidR="00724D8F" w:rsidRPr="00724D8F">
          <w:rPr>
            <w:rFonts w:eastAsiaTheme="minorEastAsia" w:cstheme="minorBidi"/>
            <w:i w:val="0"/>
            <w:iCs w:val="0"/>
            <w:noProof/>
            <w:lang w:val="en-GB" w:eastAsia="en-GB" w:bidi="ar-SA"/>
          </w:rPr>
          <w:tab/>
        </w:r>
        <w:r w:rsidR="00724D8F" w:rsidRPr="00724D8F">
          <w:rPr>
            <w:rStyle w:val="Hyperlink"/>
            <w:noProof/>
          </w:rPr>
          <w:t>Food consumption data used</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_Toc477274243 \h </w:instrText>
        </w:r>
        <w:r w:rsidR="00724D8F" w:rsidRPr="00724D8F">
          <w:rPr>
            <w:noProof/>
            <w:webHidden/>
          </w:rPr>
        </w:r>
        <w:r w:rsidR="00724D8F" w:rsidRPr="00724D8F">
          <w:rPr>
            <w:noProof/>
            <w:webHidden/>
          </w:rPr>
          <w:fldChar w:fldCharType="separate"/>
        </w:r>
        <w:r w:rsidR="007A55E8">
          <w:rPr>
            <w:noProof/>
            <w:webHidden/>
          </w:rPr>
          <w:t>36</w:t>
        </w:r>
        <w:r w:rsidR="00724D8F" w:rsidRPr="00724D8F">
          <w:rPr>
            <w:noProof/>
            <w:webHidden/>
          </w:rPr>
          <w:fldChar w:fldCharType="end"/>
        </w:r>
      </w:hyperlink>
    </w:p>
    <w:p w14:paraId="64CC80E1" w14:textId="77777777" w:rsidR="00724D8F" w:rsidRPr="00724D8F" w:rsidRDefault="00A272E7">
      <w:pPr>
        <w:pStyle w:val="TOC3"/>
        <w:tabs>
          <w:tab w:val="left" w:pos="1100"/>
          <w:tab w:val="right" w:leader="dot" w:pos="9060"/>
        </w:tabs>
        <w:rPr>
          <w:rFonts w:eastAsiaTheme="minorEastAsia" w:cstheme="minorBidi"/>
          <w:i w:val="0"/>
          <w:iCs w:val="0"/>
          <w:noProof/>
          <w:lang w:val="en-GB" w:eastAsia="en-GB" w:bidi="ar-SA"/>
        </w:rPr>
      </w:pPr>
      <w:hyperlink w:anchor="_Toc477274244" w:history="1">
        <w:r w:rsidR="00724D8F" w:rsidRPr="00724D8F">
          <w:rPr>
            <w:rStyle w:val="Hyperlink"/>
            <w:noProof/>
          </w:rPr>
          <w:t>A1.2</w:t>
        </w:r>
        <w:r w:rsidR="00724D8F" w:rsidRPr="00724D8F">
          <w:rPr>
            <w:rFonts w:eastAsiaTheme="minorEastAsia" w:cstheme="minorBidi"/>
            <w:i w:val="0"/>
            <w:iCs w:val="0"/>
            <w:noProof/>
            <w:lang w:val="en-GB" w:eastAsia="en-GB" w:bidi="ar-SA"/>
          </w:rPr>
          <w:tab/>
        </w:r>
        <w:r w:rsidR="00724D8F" w:rsidRPr="00724D8F">
          <w:rPr>
            <w:rStyle w:val="Hyperlink"/>
            <w:noProof/>
          </w:rPr>
          <w:t>Limitations of dietary exposure assessments</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_Toc477274244 \h </w:instrText>
        </w:r>
        <w:r w:rsidR="00724D8F" w:rsidRPr="00724D8F">
          <w:rPr>
            <w:noProof/>
            <w:webHidden/>
          </w:rPr>
        </w:r>
        <w:r w:rsidR="00724D8F" w:rsidRPr="00724D8F">
          <w:rPr>
            <w:noProof/>
            <w:webHidden/>
          </w:rPr>
          <w:fldChar w:fldCharType="separate"/>
        </w:r>
        <w:r w:rsidR="007A55E8">
          <w:rPr>
            <w:noProof/>
            <w:webHidden/>
          </w:rPr>
          <w:t>37</w:t>
        </w:r>
        <w:r w:rsidR="00724D8F" w:rsidRPr="00724D8F">
          <w:rPr>
            <w:noProof/>
            <w:webHidden/>
          </w:rPr>
          <w:fldChar w:fldCharType="end"/>
        </w:r>
      </w:hyperlink>
    </w:p>
    <w:p w14:paraId="14793399" w14:textId="77777777" w:rsidR="00724D8F" w:rsidRPr="00724D8F" w:rsidRDefault="00A272E7">
      <w:pPr>
        <w:pStyle w:val="TOC2"/>
        <w:tabs>
          <w:tab w:val="right" w:leader="dot" w:pos="9060"/>
        </w:tabs>
        <w:rPr>
          <w:rFonts w:eastAsiaTheme="minorEastAsia" w:cstheme="minorBidi"/>
          <w:smallCaps w:val="0"/>
          <w:noProof/>
          <w:lang w:val="en-GB" w:eastAsia="en-GB" w:bidi="ar-SA"/>
        </w:rPr>
      </w:pPr>
      <w:hyperlink w:anchor="_Toc477274245" w:history="1">
        <w:r w:rsidR="00724D8F" w:rsidRPr="00724D8F">
          <w:rPr>
            <w:rStyle w:val="Hyperlink"/>
            <w:noProof/>
            <w:lang w:eastAsia="en-AU"/>
          </w:rPr>
          <w:t>Appendix 2: Food classifications used in Harvest modelling</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_Toc477274245 \h </w:instrText>
        </w:r>
        <w:r w:rsidR="00724D8F" w:rsidRPr="00724D8F">
          <w:rPr>
            <w:noProof/>
            <w:webHidden/>
          </w:rPr>
        </w:r>
        <w:r w:rsidR="00724D8F" w:rsidRPr="00724D8F">
          <w:rPr>
            <w:noProof/>
            <w:webHidden/>
          </w:rPr>
          <w:fldChar w:fldCharType="separate"/>
        </w:r>
        <w:r w:rsidR="007A55E8">
          <w:rPr>
            <w:noProof/>
            <w:webHidden/>
          </w:rPr>
          <w:t>38</w:t>
        </w:r>
        <w:r w:rsidR="00724D8F" w:rsidRPr="00724D8F">
          <w:rPr>
            <w:noProof/>
            <w:webHidden/>
          </w:rPr>
          <w:fldChar w:fldCharType="end"/>
        </w:r>
      </w:hyperlink>
    </w:p>
    <w:p w14:paraId="08BD31BA" w14:textId="77777777" w:rsidR="00724D8F" w:rsidRPr="00724D8F" w:rsidRDefault="00A272E7">
      <w:pPr>
        <w:pStyle w:val="TOC2"/>
        <w:tabs>
          <w:tab w:val="right" w:leader="dot" w:pos="9060"/>
        </w:tabs>
        <w:rPr>
          <w:rFonts w:eastAsiaTheme="minorEastAsia" w:cstheme="minorBidi"/>
          <w:smallCaps w:val="0"/>
          <w:noProof/>
          <w:lang w:val="en-GB" w:eastAsia="en-GB" w:bidi="ar-SA"/>
        </w:rPr>
      </w:pPr>
      <w:hyperlink w:anchor="_Toc477274246" w:history="1">
        <w:r w:rsidR="00724D8F" w:rsidRPr="00724D8F">
          <w:rPr>
            <w:rStyle w:val="Hyperlink"/>
            <w:noProof/>
            <w:lang w:eastAsia="en-AU"/>
          </w:rPr>
          <w:t>Appendix 3: Results of dietary exposure assessment</w:t>
        </w:r>
        <w:r w:rsidR="00724D8F" w:rsidRPr="00724D8F">
          <w:rPr>
            <w:noProof/>
            <w:webHidden/>
          </w:rPr>
          <w:tab/>
        </w:r>
        <w:r w:rsidR="00724D8F" w:rsidRPr="00724D8F">
          <w:rPr>
            <w:noProof/>
            <w:webHidden/>
          </w:rPr>
          <w:fldChar w:fldCharType="begin"/>
        </w:r>
        <w:r w:rsidR="00724D8F" w:rsidRPr="00724D8F">
          <w:rPr>
            <w:noProof/>
            <w:webHidden/>
          </w:rPr>
          <w:instrText xml:space="preserve"> PAGEREF _Toc477274246 \h </w:instrText>
        </w:r>
        <w:r w:rsidR="00724D8F" w:rsidRPr="00724D8F">
          <w:rPr>
            <w:noProof/>
            <w:webHidden/>
          </w:rPr>
        </w:r>
        <w:r w:rsidR="00724D8F" w:rsidRPr="00724D8F">
          <w:rPr>
            <w:noProof/>
            <w:webHidden/>
          </w:rPr>
          <w:fldChar w:fldCharType="separate"/>
        </w:r>
        <w:r w:rsidR="007A55E8">
          <w:rPr>
            <w:noProof/>
            <w:webHidden/>
          </w:rPr>
          <w:t>39</w:t>
        </w:r>
        <w:r w:rsidR="00724D8F" w:rsidRPr="00724D8F">
          <w:rPr>
            <w:noProof/>
            <w:webHidden/>
          </w:rPr>
          <w:fldChar w:fldCharType="end"/>
        </w:r>
      </w:hyperlink>
    </w:p>
    <w:p w14:paraId="3CB9CEF9" w14:textId="77777777" w:rsidR="0051780C" w:rsidRPr="00724D8F" w:rsidRDefault="0051780C" w:rsidP="0051780C">
      <w:pPr>
        <w:rPr>
          <w:rFonts w:cs="Arial"/>
          <w:sz w:val="20"/>
          <w:szCs w:val="20"/>
          <w:lang w:val="en-GB"/>
        </w:rPr>
      </w:pPr>
      <w:r w:rsidRPr="00724D8F">
        <w:rPr>
          <w:rFonts w:cs="Arial"/>
          <w:sz w:val="20"/>
          <w:szCs w:val="20"/>
          <w:lang w:val="en-GB"/>
        </w:rPr>
        <w:fldChar w:fldCharType="end"/>
      </w:r>
    </w:p>
    <w:p w14:paraId="3F4606E4" w14:textId="77777777" w:rsidR="0051780C" w:rsidRPr="002A0924" w:rsidRDefault="0051780C" w:rsidP="0051780C">
      <w:pPr>
        <w:rPr>
          <w:lang w:val="en-GB"/>
        </w:rPr>
      </w:pPr>
      <w:r w:rsidRPr="002A0924">
        <w:rPr>
          <w:lang w:val="en-GB"/>
        </w:rPr>
        <w:br w:type="page"/>
      </w:r>
    </w:p>
    <w:p w14:paraId="7C8329E6" w14:textId="77777777" w:rsidR="0051780C" w:rsidRPr="00552334" w:rsidRDefault="0051780C" w:rsidP="00997D23">
      <w:pPr>
        <w:pStyle w:val="Heading1"/>
      </w:pPr>
      <w:bookmarkStart w:id="5" w:name="_Toc415041899"/>
      <w:bookmarkStart w:id="6" w:name="_Toc463507623"/>
      <w:bookmarkStart w:id="7" w:name="_Toc463881764"/>
      <w:bookmarkStart w:id="8" w:name="_Toc464569618"/>
      <w:bookmarkStart w:id="9" w:name="_Toc466903372"/>
      <w:bookmarkStart w:id="10" w:name="_Toc466909037"/>
      <w:bookmarkStart w:id="11" w:name="_Toc466986153"/>
      <w:bookmarkStart w:id="12" w:name="_Toc466986206"/>
      <w:bookmarkStart w:id="13" w:name="_Toc467052872"/>
      <w:bookmarkStart w:id="14" w:name="_Toc467064024"/>
      <w:bookmarkStart w:id="15" w:name="_Toc467064471"/>
      <w:bookmarkStart w:id="16" w:name="_Toc467077478"/>
      <w:bookmarkStart w:id="17" w:name="_Toc477274198"/>
      <w:r w:rsidRPr="00552334">
        <w:lastRenderedPageBreak/>
        <w:t>1</w:t>
      </w:r>
      <w:r w:rsidRPr="00552334">
        <w:tab/>
        <w:t>Introduction</w:t>
      </w:r>
      <w:bookmarkEnd w:id="5"/>
      <w:bookmarkEnd w:id="6"/>
      <w:bookmarkEnd w:id="7"/>
      <w:bookmarkEnd w:id="8"/>
      <w:bookmarkEnd w:id="9"/>
      <w:bookmarkEnd w:id="10"/>
      <w:bookmarkEnd w:id="11"/>
      <w:bookmarkEnd w:id="12"/>
      <w:bookmarkEnd w:id="13"/>
      <w:bookmarkEnd w:id="14"/>
      <w:bookmarkEnd w:id="15"/>
      <w:bookmarkEnd w:id="16"/>
      <w:bookmarkEnd w:id="17"/>
    </w:p>
    <w:p w14:paraId="4EEB4AEC" w14:textId="1467A233" w:rsidR="0051780C" w:rsidRPr="00547FB5" w:rsidRDefault="0051780C" w:rsidP="0051780C">
      <w:pPr>
        <w:rPr>
          <w:lang w:val="en-GB"/>
        </w:rPr>
      </w:pPr>
      <w:r w:rsidRPr="00547FB5">
        <w:rPr>
          <w:lang w:val="en-GB"/>
        </w:rPr>
        <w:t xml:space="preserve">The </w:t>
      </w:r>
      <w:r w:rsidRPr="00547FB5">
        <w:rPr>
          <w:i/>
          <w:lang w:val="en-GB"/>
        </w:rPr>
        <w:t>Australia New Zealand Food Standards Code</w:t>
      </w:r>
      <w:r w:rsidRPr="00547FB5">
        <w:rPr>
          <w:lang w:val="en-GB"/>
        </w:rPr>
        <w:t xml:space="preserve"> (the Code) currently permits the addition of phytosterols, phytostanols and their esters, which are collectively, termed </w:t>
      </w:r>
      <w:r w:rsidR="00097D86">
        <w:rPr>
          <w:lang w:val="en-GB"/>
        </w:rPr>
        <w:t xml:space="preserve">as </w:t>
      </w:r>
      <w:r w:rsidRPr="00547FB5">
        <w:rPr>
          <w:lang w:val="en-GB"/>
        </w:rPr>
        <w:t>plant sterols in this report. The total plant sterol equivalents specifically encompass phytosterols and phytostanols (i.e. free form) as well as the hydrolysis products of their esters. Plant sterols are classified</w:t>
      </w:r>
      <w:r w:rsidRPr="00547FB5">
        <w:rPr>
          <w:lang w:val="en-GB" w:eastAsia="en-AU" w:bidi="ar-SA"/>
        </w:rPr>
        <w:t xml:space="preserve"> </w:t>
      </w:r>
      <w:r w:rsidRPr="00547FB5">
        <w:rPr>
          <w:lang w:val="en-GB"/>
        </w:rPr>
        <w:t xml:space="preserve">as novel food ingredients and are permitted to be added to a range of different food products, subject to the conditions of use shown in section S25—2. </w:t>
      </w:r>
    </w:p>
    <w:p w14:paraId="33A62F01" w14:textId="77777777" w:rsidR="0051780C" w:rsidRPr="00547FB5" w:rsidRDefault="0051780C" w:rsidP="0051780C">
      <w:pPr>
        <w:rPr>
          <w:lang w:val="en-GB"/>
        </w:rPr>
      </w:pPr>
    </w:p>
    <w:p w14:paraId="09660917" w14:textId="625971FC" w:rsidR="0051780C" w:rsidRPr="00552334" w:rsidRDefault="0051780C" w:rsidP="0051780C">
      <w:pPr>
        <w:rPr>
          <w:rFonts w:ascii="ArialMT" w:hAnsi="ArialMT" w:cs="ArialMT"/>
          <w:szCs w:val="22"/>
          <w:lang w:val="en-GB" w:eastAsia="en-GB" w:bidi="ar-SA"/>
        </w:rPr>
      </w:pPr>
      <w:r w:rsidRPr="00547FB5">
        <w:rPr>
          <w:lang w:val="en-GB" w:eastAsia="en-AU" w:bidi="ar-SA"/>
        </w:rPr>
        <w:t xml:space="preserve">Food Standards Australia New Zealand (FSANZ) has previously approved </w:t>
      </w:r>
      <w:r>
        <w:rPr>
          <w:lang w:val="en-GB" w:eastAsia="en-AU" w:bidi="ar-SA"/>
        </w:rPr>
        <w:t xml:space="preserve">permissions arising </w:t>
      </w:r>
      <w:r w:rsidR="00B14D36">
        <w:rPr>
          <w:lang w:val="en-GB" w:eastAsia="en-AU" w:bidi="ar-SA"/>
        </w:rPr>
        <w:t xml:space="preserve">from </w:t>
      </w:r>
      <w:r>
        <w:rPr>
          <w:lang w:val="en-GB" w:eastAsia="en-AU" w:bidi="ar-SA"/>
        </w:rPr>
        <w:t>A</w:t>
      </w:r>
      <w:r w:rsidRPr="002A0924">
        <w:rPr>
          <w:lang w:val="en-GB" w:eastAsia="en-AU" w:bidi="ar-SA"/>
        </w:rPr>
        <w:t xml:space="preserve">pplication A433 </w:t>
      </w:r>
      <w:r>
        <w:rPr>
          <w:lang w:val="en-GB" w:eastAsia="en-AU" w:bidi="ar-SA"/>
        </w:rPr>
        <w:t xml:space="preserve">– </w:t>
      </w:r>
      <w:r w:rsidRPr="00F935CA">
        <w:rPr>
          <w:lang w:val="en-GB" w:eastAsia="en-AU" w:bidi="ar-SA"/>
        </w:rPr>
        <w:t>Phytosterol Esters derived from Vegetable Oils in Breakfast Cereals</w:t>
      </w:r>
      <w:r w:rsidRPr="002A0924">
        <w:rPr>
          <w:lang w:val="en-GB" w:eastAsia="en-AU" w:bidi="ar-SA"/>
        </w:rPr>
        <w:t xml:space="preserve"> </w:t>
      </w:r>
      <w:r>
        <w:rPr>
          <w:lang w:val="en-GB" w:eastAsia="en-AU" w:bidi="ar-SA"/>
        </w:rPr>
        <w:t>so that</w:t>
      </w:r>
      <w:r w:rsidRPr="002A0924">
        <w:rPr>
          <w:lang w:val="en-GB" w:eastAsia="en-AU" w:bidi="ar-SA"/>
        </w:rPr>
        <w:t xml:space="preserve"> breakfast cereals are permitted to contain total plant sterol equivalents at a content no less than 15 g/kg and no more than 19 g/kg </w:t>
      </w:r>
      <w:r w:rsidRPr="002A0924">
        <w:rPr>
          <w:lang w:val="en-GB" w:eastAsia="en-AU" w:bidi="ar-SA"/>
        </w:rPr>
        <w:fldChar w:fldCharType="begin" w:fldLock="1"/>
      </w:r>
      <w:r w:rsidRPr="002A0924">
        <w:rPr>
          <w:lang w:val="en-GB" w:eastAsia="en-AU" w:bidi="ar-SA"/>
        </w:rPr>
        <w:instrText>ADDIN CSL_CITATION { "citationItems" : [ { "id" : "ITEM-1", "itemData" : { "author" : [ { "dropping-particle" : "", "family" : "FSANZ", "given" : "", "non-dropping-particle" : "", "parse-names" : false, "suffix" : "" } ], "id" : "ITEM-1", "issued" : { "date-parts" : [ [ "2005" ] ] }, "publisher" : "FSANZ, Canberra", "publisher-place" : "Canberra", "title" : "First Review Report: Application A433 - Phytosterol esters derived from vegetable oils in breakfast cereals; Application A434 - Phytosterol esters derived from vegetable oils in low-fat milk &amp; yoghurt; Application A508 - Phytosterols derived from tall oil", "type" : "report" }, "uris" : [ "http://www.mendeley.com/documents/?uuid=b456de10-a440-403d-baf3-47075be80844" ] } ], "mendeley" : { "formattedCitation" : "(FSANZ 2005)", "plainTextFormattedCitation" : "(FSANZ 2005)", "previouslyFormattedCitation" : "(FSANZ 2005)" }, "properties" : { "noteIndex" : 0 }, "schema" : "https://github.com/citation-style-language/schema/raw/master/csl-citation.json" }</w:instrText>
      </w:r>
      <w:r w:rsidRPr="002A0924">
        <w:rPr>
          <w:lang w:val="en-GB" w:eastAsia="en-AU" w:bidi="ar-SA"/>
        </w:rPr>
        <w:fldChar w:fldCharType="separate"/>
      </w:r>
      <w:r w:rsidRPr="002A0924">
        <w:rPr>
          <w:noProof/>
          <w:lang w:val="en-GB" w:eastAsia="en-AU" w:bidi="ar-SA"/>
        </w:rPr>
        <w:t>(FSANZ 2005)</w:t>
      </w:r>
      <w:r w:rsidRPr="002A0924">
        <w:rPr>
          <w:lang w:val="en-GB" w:eastAsia="en-AU" w:bidi="ar-SA"/>
        </w:rPr>
        <w:fldChar w:fldCharType="end"/>
      </w:r>
      <w:r w:rsidRPr="002A0924">
        <w:rPr>
          <w:lang w:val="en-GB" w:eastAsia="en-AU" w:bidi="ar-SA"/>
        </w:rPr>
        <w:t>. Additionally, p</w:t>
      </w:r>
      <w:r w:rsidRPr="002A0924">
        <w:rPr>
          <w:lang w:val="en-GB"/>
        </w:rPr>
        <w:t xml:space="preserve">lant sterols in food have been assessed by FSANZ in other applications (Applications A1019 and A1024 in particular) and are permitted </w:t>
      </w:r>
      <w:r w:rsidRPr="00552334">
        <w:rPr>
          <w:rFonts w:ascii="ArialMT" w:hAnsi="ArialMT" w:cs="ArialMT"/>
          <w:szCs w:val="22"/>
          <w:lang w:val="en-GB" w:eastAsia="en-GB" w:bidi="ar-SA"/>
        </w:rPr>
        <w:t>in foods such as edible oil spreads, cheese and low fat milk and yoghurt.</w:t>
      </w:r>
    </w:p>
    <w:p w14:paraId="2A777506" w14:textId="77777777" w:rsidR="0051780C" w:rsidRPr="00547FB5" w:rsidRDefault="0051780C" w:rsidP="0051780C">
      <w:pPr>
        <w:rPr>
          <w:lang w:val="en-GB" w:eastAsia="en-AU" w:bidi="ar-SA"/>
        </w:rPr>
      </w:pPr>
    </w:p>
    <w:p w14:paraId="43D12D76" w14:textId="77777777" w:rsidR="0051780C" w:rsidRPr="00547FB5" w:rsidRDefault="0051780C" w:rsidP="0051780C">
      <w:pPr>
        <w:rPr>
          <w:lang w:val="en-GB" w:eastAsia="en-AU" w:bidi="ar-SA"/>
        </w:rPr>
      </w:pPr>
      <w:r w:rsidRPr="00547FB5">
        <w:rPr>
          <w:lang w:val="en-GB" w:eastAsia="en-AU" w:bidi="ar-SA"/>
        </w:rPr>
        <w:t xml:space="preserve">This review forms a part of the assessment of an Application submitted to FSANZ requesting permission to add plant sterols to breakfast cereals at a content of no less than 0.8 g and no more than 2 g per serve. </w:t>
      </w:r>
    </w:p>
    <w:p w14:paraId="4AC9F03E" w14:textId="77777777" w:rsidR="0051780C" w:rsidRPr="00547FB5" w:rsidRDefault="0051780C" w:rsidP="0051780C">
      <w:pPr>
        <w:rPr>
          <w:lang w:val="en-GB" w:eastAsia="en-AU" w:bidi="ar-SA"/>
        </w:rPr>
      </w:pPr>
    </w:p>
    <w:p w14:paraId="40125556" w14:textId="555861A9" w:rsidR="0051780C" w:rsidRDefault="0051780C" w:rsidP="0051780C">
      <w:pPr>
        <w:rPr>
          <w:lang w:val="en-GB" w:eastAsia="en-AU" w:bidi="ar-SA"/>
        </w:rPr>
      </w:pPr>
      <w:r w:rsidRPr="00547FB5">
        <w:rPr>
          <w:lang w:val="en-GB" w:eastAsia="en-AU" w:bidi="ar-SA"/>
        </w:rPr>
        <w:t>T</w:t>
      </w:r>
      <w:r w:rsidRPr="00547FB5">
        <w:rPr>
          <w:lang w:val="en-GB"/>
        </w:rPr>
        <w:t xml:space="preserve">he objectives of this </w:t>
      </w:r>
      <w:r>
        <w:rPr>
          <w:lang w:val="en-GB"/>
        </w:rPr>
        <w:t>review</w:t>
      </w:r>
      <w:r w:rsidRPr="002A0924">
        <w:rPr>
          <w:lang w:val="en-GB"/>
        </w:rPr>
        <w:t xml:space="preserve"> are to </w:t>
      </w:r>
      <w:r w:rsidRPr="002A0924">
        <w:rPr>
          <w:lang w:val="en-GB" w:eastAsia="en-AU" w:bidi="ar-SA"/>
        </w:rPr>
        <w:t>update plant sterol exposure estimates based on the most recent nutrition survey data and to</w:t>
      </w:r>
      <w:r w:rsidRPr="002A0924">
        <w:rPr>
          <w:lang w:val="en-GB"/>
        </w:rPr>
        <w:t xml:space="preserve"> </w:t>
      </w:r>
      <w:r w:rsidRPr="002A0924">
        <w:rPr>
          <w:lang w:val="en-GB" w:eastAsia="en-AU" w:bidi="ar-SA"/>
        </w:rPr>
        <w:t>evaluate relevant information that may have emerged since the last assessment done by FSANZ on any potential adverse effects of plant sterols in the diet arising from the proposed fortification of breakfast cereals.</w:t>
      </w:r>
    </w:p>
    <w:p w14:paraId="1A60A3C7" w14:textId="77777777" w:rsidR="0051780C" w:rsidRPr="00547FB5" w:rsidRDefault="0051780C" w:rsidP="0051780C">
      <w:pPr>
        <w:rPr>
          <w:lang w:val="en-GB" w:eastAsia="en-AU"/>
        </w:rPr>
      </w:pPr>
    </w:p>
    <w:p w14:paraId="0877D37A" w14:textId="77777777" w:rsidR="0051780C" w:rsidRPr="00552334" w:rsidRDefault="0051780C" w:rsidP="00997D23">
      <w:pPr>
        <w:pStyle w:val="Heading1"/>
      </w:pPr>
      <w:bookmarkStart w:id="18" w:name="_Toc415041907"/>
      <w:bookmarkStart w:id="19" w:name="_Toc463507624"/>
      <w:bookmarkStart w:id="20" w:name="_Toc463881765"/>
      <w:bookmarkStart w:id="21" w:name="_Toc464569619"/>
      <w:bookmarkStart w:id="22" w:name="_Toc466903373"/>
      <w:bookmarkStart w:id="23" w:name="_Toc466909038"/>
      <w:bookmarkStart w:id="24" w:name="_Toc466986154"/>
      <w:bookmarkStart w:id="25" w:name="_Toc466986207"/>
      <w:bookmarkStart w:id="26" w:name="_Toc467052873"/>
      <w:bookmarkStart w:id="27" w:name="_Toc467064025"/>
      <w:bookmarkStart w:id="28" w:name="_Toc467064472"/>
      <w:bookmarkStart w:id="29" w:name="_Toc467077479"/>
      <w:bookmarkStart w:id="30" w:name="_Toc477274199"/>
      <w:r w:rsidRPr="00552334">
        <w:t>2</w:t>
      </w:r>
      <w:r w:rsidRPr="00552334">
        <w:tab/>
        <w:t>Food technology assessment</w:t>
      </w:r>
      <w:bookmarkEnd w:id="18"/>
      <w:bookmarkEnd w:id="19"/>
      <w:bookmarkEnd w:id="20"/>
      <w:bookmarkEnd w:id="21"/>
      <w:bookmarkEnd w:id="22"/>
      <w:bookmarkEnd w:id="23"/>
      <w:bookmarkEnd w:id="24"/>
      <w:bookmarkEnd w:id="25"/>
      <w:bookmarkEnd w:id="26"/>
      <w:bookmarkEnd w:id="27"/>
      <w:bookmarkEnd w:id="28"/>
      <w:bookmarkEnd w:id="29"/>
      <w:bookmarkEnd w:id="30"/>
    </w:p>
    <w:p w14:paraId="77F89C0D" w14:textId="77777777" w:rsidR="0051780C" w:rsidRPr="00F935CA" w:rsidRDefault="0051780C" w:rsidP="00B14D36">
      <w:pPr>
        <w:pStyle w:val="Heading2"/>
      </w:pPr>
      <w:bookmarkStart w:id="31" w:name="_Toc463507625"/>
      <w:bookmarkStart w:id="32" w:name="_Toc463881766"/>
      <w:bookmarkStart w:id="33" w:name="_Toc464569620"/>
      <w:bookmarkStart w:id="34" w:name="_Toc466903374"/>
      <w:bookmarkStart w:id="35" w:name="_Toc466909039"/>
      <w:bookmarkStart w:id="36" w:name="_Toc466986155"/>
      <w:bookmarkStart w:id="37" w:name="_Toc466986208"/>
      <w:bookmarkStart w:id="38" w:name="_Toc467052874"/>
      <w:bookmarkStart w:id="39" w:name="_Toc467064026"/>
      <w:bookmarkStart w:id="40" w:name="_Toc467064473"/>
      <w:bookmarkStart w:id="41" w:name="_Toc467077480"/>
      <w:bookmarkStart w:id="42" w:name="_Toc477274200"/>
      <w:r w:rsidRPr="00F935CA">
        <w:t>2.1</w:t>
      </w:r>
      <w:r w:rsidRPr="00F935CA">
        <w:tab/>
        <w:t>Description of substance</w:t>
      </w:r>
      <w:bookmarkEnd w:id="31"/>
      <w:bookmarkEnd w:id="32"/>
      <w:bookmarkEnd w:id="33"/>
      <w:bookmarkEnd w:id="34"/>
      <w:bookmarkEnd w:id="35"/>
      <w:bookmarkEnd w:id="36"/>
      <w:bookmarkEnd w:id="37"/>
      <w:bookmarkEnd w:id="38"/>
      <w:bookmarkEnd w:id="39"/>
      <w:bookmarkEnd w:id="40"/>
      <w:bookmarkEnd w:id="41"/>
      <w:bookmarkEnd w:id="42"/>
    </w:p>
    <w:p w14:paraId="1787896C" w14:textId="77777777" w:rsidR="0051780C" w:rsidRPr="00547FB5" w:rsidRDefault="0051780C" w:rsidP="0051780C">
      <w:pPr>
        <w:tabs>
          <w:tab w:val="left" w:pos="993"/>
        </w:tabs>
        <w:rPr>
          <w:lang w:val="en-GB"/>
        </w:rPr>
      </w:pPr>
      <w:r w:rsidRPr="00547FB5">
        <w:rPr>
          <w:lang w:val="en-GB"/>
        </w:rPr>
        <w:t>Since plant sterols have been comprehensively assessed in earlier applications (including Applications A1019 and A1024 in particular) and are currently permitted in the Code, the food technology assessment is only intended to provide a summary of the chemistry of these novel food ingredients for background purposes. The assessment is principally concerned with assessing the suitability of incorporating higher concentrations of plant sterols into breakfast cereals.</w:t>
      </w:r>
    </w:p>
    <w:p w14:paraId="45AFC0E3" w14:textId="77777777" w:rsidR="0051780C" w:rsidRPr="00552334" w:rsidRDefault="0051780C" w:rsidP="00B14D36">
      <w:pPr>
        <w:pStyle w:val="Heading3"/>
      </w:pPr>
      <w:bookmarkStart w:id="43" w:name="_Toc463507626"/>
      <w:bookmarkStart w:id="44" w:name="_Toc463881767"/>
      <w:bookmarkStart w:id="45" w:name="_Toc464569621"/>
      <w:bookmarkStart w:id="46" w:name="_Toc466903375"/>
      <w:bookmarkStart w:id="47" w:name="_Toc466909040"/>
      <w:bookmarkStart w:id="48" w:name="_Toc466986156"/>
      <w:bookmarkStart w:id="49" w:name="_Toc466986209"/>
      <w:bookmarkStart w:id="50" w:name="_Toc467052875"/>
      <w:bookmarkStart w:id="51" w:name="_Toc467064027"/>
      <w:bookmarkStart w:id="52" w:name="_Toc467064474"/>
      <w:bookmarkStart w:id="53" w:name="_Toc467077481"/>
      <w:bookmarkStart w:id="54" w:name="_Toc477274201"/>
      <w:r w:rsidRPr="00552334">
        <w:t>2.1.1</w:t>
      </w:r>
      <w:r w:rsidRPr="00552334">
        <w:tab/>
        <w:t>Identity</w:t>
      </w:r>
      <w:bookmarkEnd w:id="43"/>
      <w:bookmarkEnd w:id="44"/>
      <w:bookmarkEnd w:id="45"/>
      <w:bookmarkEnd w:id="46"/>
      <w:bookmarkEnd w:id="47"/>
      <w:bookmarkEnd w:id="48"/>
      <w:bookmarkEnd w:id="49"/>
      <w:bookmarkEnd w:id="50"/>
      <w:bookmarkEnd w:id="51"/>
      <w:bookmarkEnd w:id="52"/>
      <w:bookmarkEnd w:id="53"/>
      <w:bookmarkEnd w:id="54"/>
    </w:p>
    <w:p w14:paraId="02879757" w14:textId="77777777" w:rsidR="0051780C" w:rsidRPr="00547FB5" w:rsidRDefault="0051780C" w:rsidP="0051780C">
      <w:pPr>
        <w:rPr>
          <w:lang w:val="en-GB"/>
        </w:rPr>
      </w:pPr>
      <w:r w:rsidRPr="00547FB5">
        <w:rPr>
          <w:lang w:val="en-GB"/>
        </w:rPr>
        <w:t>All permitted plant sterols need to meet the specifications of section S3—24 (phytosterols, phytostanols and their esters) in Schedule 3 (Identity and Purity) of the Code. There are quite a range of different types of plant sterols, plant stanols and their esters. The chemical properties and structures of them are summarised in section 2.2 below, which also highlights their differences.</w:t>
      </w:r>
    </w:p>
    <w:p w14:paraId="26C59409" w14:textId="77777777" w:rsidR="0051780C" w:rsidRPr="00552334" w:rsidRDefault="0051780C" w:rsidP="00B14D36">
      <w:pPr>
        <w:pStyle w:val="Heading3"/>
      </w:pPr>
      <w:bookmarkStart w:id="55" w:name="_Toc463507627"/>
      <w:bookmarkStart w:id="56" w:name="_Toc463881768"/>
      <w:bookmarkStart w:id="57" w:name="_Toc464569622"/>
      <w:bookmarkStart w:id="58" w:name="_Toc466903376"/>
      <w:bookmarkStart w:id="59" w:name="_Toc466909041"/>
      <w:bookmarkStart w:id="60" w:name="_Toc466986157"/>
      <w:bookmarkStart w:id="61" w:name="_Toc466986210"/>
      <w:bookmarkStart w:id="62" w:name="_Toc467052876"/>
      <w:bookmarkStart w:id="63" w:name="_Toc467064028"/>
      <w:bookmarkStart w:id="64" w:name="_Toc467064475"/>
      <w:bookmarkStart w:id="65" w:name="_Toc467077482"/>
      <w:bookmarkStart w:id="66" w:name="_Toc477274202"/>
      <w:r w:rsidRPr="00552334">
        <w:t>2.1.2</w:t>
      </w:r>
      <w:r w:rsidRPr="00552334">
        <w:tab/>
        <w:t>Technological justification</w:t>
      </w:r>
      <w:bookmarkEnd w:id="55"/>
      <w:bookmarkEnd w:id="56"/>
      <w:bookmarkEnd w:id="57"/>
      <w:bookmarkEnd w:id="58"/>
      <w:bookmarkEnd w:id="59"/>
      <w:bookmarkEnd w:id="60"/>
      <w:bookmarkEnd w:id="61"/>
      <w:bookmarkEnd w:id="62"/>
      <w:bookmarkEnd w:id="63"/>
      <w:bookmarkEnd w:id="64"/>
      <w:bookmarkEnd w:id="65"/>
      <w:bookmarkEnd w:id="66"/>
    </w:p>
    <w:p w14:paraId="04CCF64A" w14:textId="6B538F74" w:rsidR="00724D8F" w:rsidRDefault="0051780C" w:rsidP="0051780C">
      <w:pPr>
        <w:rPr>
          <w:lang w:val="en-GB"/>
        </w:rPr>
      </w:pPr>
      <w:r w:rsidRPr="00547FB5">
        <w:rPr>
          <w:lang w:val="en-GB"/>
        </w:rPr>
        <w:t>The technological justification that is being assessed is whether higher levels of plant sterols than currently permitted can be appropriately incorporated into breakfast cereals. That is, can plant sterols be incorporated into breakfast cereals, are they stable once incorporated and are there any technological challenges identified that could limit this objective.</w:t>
      </w:r>
      <w:r w:rsidR="00724D8F">
        <w:rPr>
          <w:lang w:val="en-GB"/>
        </w:rPr>
        <w:br w:type="page"/>
      </w:r>
    </w:p>
    <w:p w14:paraId="46113745" w14:textId="77777777" w:rsidR="0051780C" w:rsidRPr="00F935CA" w:rsidRDefault="0051780C" w:rsidP="00B14D36">
      <w:pPr>
        <w:pStyle w:val="Heading2"/>
      </w:pPr>
      <w:bookmarkStart w:id="67" w:name="_Toc463507628"/>
      <w:bookmarkStart w:id="68" w:name="_Toc463881769"/>
      <w:bookmarkStart w:id="69" w:name="_Toc464569623"/>
      <w:bookmarkStart w:id="70" w:name="_Toc466903377"/>
      <w:bookmarkStart w:id="71" w:name="_Toc466909042"/>
      <w:bookmarkStart w:id="72" w:name="_Toc466986158"/>
      <w:bookmarkStart w:id="73" w:name="_Toc466986211"/>
      <w:bookmarkStart w:id="74" w:name="_Toc467052877"/>
      <w:bookmarkStart w:id="75" w:name="_Toc467064029"/>
      <w:bookmarkStart w:id="76" w:name="_Toc467064476"/>
      <w:bookmarkStart w:id="77" w:name="_Toc467077483"/>
      <w:bookmarkStart w:id="78" w:name="_Toc477274203"/>
      <w:r w:rsidRPr="00F935CA">
        <w:lastRenderedPageBreak/>
        <w:t>2.2</w:t>
      </w:r>
      <w:r w:rsidRPr="00F935CA">
        <w:tab/>
        <w:t>Chemical properties</w:t>
      </w:r>
      <w:bookmarkEnd w:id="67"/>
      <w:bookmarkEnd w:id="68"/>
      <w:bookmarkEnd w:id="69"/>
      <w:bookmarkEnd w:id="70"/>
      <w:bookmarkEnd w:id="71"/>
      <w:bookmarkEnd w:id="72"/>
      <w:bookmarkEnd w:id="73"/>
      <w:bookmarkEnd w:id="74"/>
      <w:bookmarkEnd w:id="75"/>
      <w:bookmarkEnd w:id="76"/>
      <w:bookmarkEnd w:id="77"/>
      <w:bookmarkEnd w:id="78"/>
    </w:p>
    <w:p w14:paraId="1D82295C" w14:textId="77777777" w:rsidR="0051780C" w:rsidRPr="00547FB5" w:rsidRDefault="0051780C" w:rsidP="0051780C">
      <w:pPr>
        <w:rPr>
          <w:lang w:val="en-GB"/>
        </w:rPr>
      </w:pPr>
      <w:r w:rsidRPr="00547FB5">
        <w:rPr>
          <w:lang w:val="en-GB"/>
        </w:rPr>
        <w:t xml:space="preserve">The chemical and physical properties of plant sterols are provided in detail in section 2.2 of SD1 for Application A1024 </w:t>
      </w:r>
      <w:r w:rsidRPr="00547FB5">
        <w:rPr>
          <w:lang w:val="en-GB"/>
        </w:rPr>
        <w:fldChar w:fldCharType="begin" w:fldLock="1"/>
      </w:r>
      <w:r w:rsidRPr="00547FB5">
        <w:rPr>
          <w:lang w:val="en-GB"/>
        </w:rPr>
        <w:instrText>ADDIN CSL_CITATION { "citationItems" : [ { "id" : "ITEM-1", "itemData" : { "author" : [ { "dropping-particle" : "", "family" : "FSANZ", "given" : "", "non-dropping-particle" : "", "parse-names" : false, "suffix" : "" } ], "id" : "ITEM-1", "issued" : { "date-parts" : [ [ "2010" ] ] }, "number-of-pages" : "58", "publisher-place" : "Canberra", "title" : "Supporting document 1 - Risk Assessment Report. Application A1024 - Equivalence of Plant Stanols, Sterols &amp; their Fatty Acids Esters", "type" : "report" }, "uris" : [ "http://www.mendeley.com/documents/?uuid=1e50373d-6fdc-4d1f-aa1b-cc5e1d92ac11" ] } ], "mendeley" : { "formattedCitation" : "(FSANZ 2010a)", "plainTextFormattedCitation" : "(FSANZ 2010a)", "previouslyFormattedCitation" : "(FSANZ 2010a)" }, "properties" : { "noteIndex" : 0 }, "schema" : "https://github.com/citation-style-language/schema/raw/master/csl-citation.json" }</w:instrText>
      </w:r>
      <w:r w:rsidRPr="00547FB5">
        <w:rPr>
          <w:lang w:val="en-GB"/>
        </w:rPr>
        <w:fldChar w:fldCharType="separate"/>
      </w:r>
      <w:r w:rsidRPr="00547FB5">
        <w:rPr>
          <w:noProof/>
          <w:lang w:val="en-GB"/>
        </w:rPr>
        <w:t>(FSANZ 2010a)</w:t>
      </w:r>
      <w:r w:rsidRPr="00547FB5">
        <w:rPr>
          <w:lang w:val="en-GB"/>
        </w:rPr>
        <w:fldChar w:fldCharType="end"/>
      </w:r>
      <w:r w:rsidRPr="00547FB5">
        <w:rPr>
          <w:lang w:val="en-GB"/>
        </w:rPr>
        <w:t>. Therefore, this information will not be repeated here except for some pertinent points.</w:t>
      </w:r>
    </w:p>
    <w:p w14:paraId="2579795A" w14:textId="77777777" w:rsidR="0051780C" w:rsidRPr="00547FB5" w:rsidRDefault="0051780C" w:rsidP="0051780C">
      <w:pPr>
        <w:rPr>
          <w:lang w:val="en-GB"/>
        </w:rPr>
      </w:pPr>
    </w:p>
    <w:p w14:paraId="40313DBF" w14:textId="77777777" w:rsidR="0051780C" w:rsidRPr="00547FB5" w:rsidRDefault="0051780C" w:rsidP="0051780C">
      <w:pPr>
        <w:rPr>
          <w:lang w:val="en-GB"/>
        </w:rPr>
      </w:pPr>
      <w:r w:rsidRPr="00547FB5">
        <w:rPr>
          <w:lang w:val="en-GB"/>
        </w:rPr>
        <w:t xml:space="preserve">The difference between phytosterols and the corresponding phytostanols is that the double bond between carbon atoms 5 and 6 (Figure 1) in the phytosterol has been hydrogenated so the four ring steroid structure is fully hydrogenated. Chemical structures are provided in the A1024 report: Figure 2 is the steroid skeleton; Figure 3 provides some examples of different plant sterols while an example of a phytostanol ester is provided in Figure 4 of the A1024 assessment report. </w:t>
      </w:r>
    </w:p>
    <w:p w14:paraId="3C1AB03D" w14:textId="77777777" w:rsidR="0051780C" w:rsidRPr="00547FB5" w:rsidRDefault="0051780C" w:rsidP="0051780C">
      <w:pPr>
        <w:rPr>
          <w:lang w:val="en-GB"/>
        </w:rPr>
      </w:pPr>
    </w:p>
    <w:p w14:paraId="66E7E48E" w14:textId="6A37D102" w:rsidR="0051780C" w:rsidRPr="00547FB5" w:rsidRDefault="0051780C" w:rsidP="0051780C">
      <w:pPr>
        <w:rPr>
          <w:lang w:val="en-GB"/>
        </w:rPr>
      </w:pPr>
      <w:r w:rsidRPr="00547FB5">
        <w:rPr>
          <w:lang w:val="en-GB"/>
        </w:rPr>
        <w:t>Phytosterols and phytostanols can be esterified by reacting with vegetable oil long chain fatty acids to form plant sterol esters</w:t>
      </w:r>
      <w:r w:rsidRPr="00547FB5">
        <w:rPr>
          <w:rFonts w:cs="Arial"/>
          <w:lang w:val="en-GB"/>
        </w:rPr>
        <w:t xml:space="preserve"> which improve their solubility in food products that have fat components</w:t>
      </w:r>
      <w:r w:rsidRPr="00547FB5">
        <w:rPr>
          <w:lang w:val="en-GB"/>
        </w:rPr>
        <w:t>.</w:t>
      </w:r>
    </w:p>
    <w:p w14:paraId="693817F7" w14:textId="595B283A" w:rsidR="0051780C" w:rsidRPr="00552334" w:rsidRDefault="000E6116" w:rsidP="00B14D36">
      <w:pPr>
        <w:pStyle w:val="Heading3"/>
      </w:pPr>
      <w:bookmarkStart w:id="79" w:name="_Toc463507629"/>
      <w:bookmarkStart w:id="80" w:name="_Toc463881770"/>
      <w:bookmarkStart w:id="81" w:name="_Toc464569624"/>
      <w:bookmarkStart w:id="82" w:name="_Toc466903378"/>
      <w:bookmarkStart w:id="83" w:name="_Toc466909043"/>
      <w:bookmarkStart w:id="84" w:name="_Toc466986159"/>
      <w:bookmarkStart w:id="85" w:name="_Toc466986212"/>
      <w:bookmarkStart w:id="86" w:name="_Toc467052878"/>
      <w:bookmarkStart w:id="87" w:name="_Toc467064030"/>
      <w:bookmarkStart w:id="88" w:name="_Toc467064477"/>
      <w:bookmarkStart w:id="89" w:name="_Toc467077484"/>
      <w:bookmarkStart w:id="90" w:name="_Toc477274204"/>
      <w:r>
        <w:t>2.2.1</w:t>
      </w:r>
      <w:r w:rsidR="0051780C" w:rsidRPr="00552334">
        <w:tab/>
        <w:t>Chemical names, identification and structure</w:t>
      </w:r>
      <w:bookmarkEnd w:id="79"/>
      <w:bookmarkEnd w:id="80"/>
      <w:bookmarkEnd w:id="81"/>
      <w:bookmarkEnd w:id="82"/>
      <w:bookmarkEnd w:id="83"/>
      <w:bookmarkEnd w:id="84"/>
      <w:bookmarkEnd w:id="85"/>
      <w:bookmarkEnd w:id="86"/>
      <w:bookmarkEnd w:id="87"/>
      <w:bookmarkEnd w:id="88"/>
      <w:bookmarkEnd w:id="89"/>
      <w:bookmarkEnd w:id="9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on plant sterol names"/>
        <w:tblDescription w:val="Table contains chemical and common names for various plant sterols"/>
      </w:tblPr>
      <w:tblGrid>
        <w:gridCol w:w="2932"/>
        <w:gridCol w:w="6015"/>
      </w:tblGrid>
      <w:tr w:rsidR="0051780C" w:rsidRPr="00552334" w14:paraId="4C031D44" w14:textId="77777777" w:rsidTr="00A573C4">
        <w:trPr>
          <w:trHeight w:val="23"/>
          <w:tblHeader/>
          <w:jc w:val="center"/>
        </w:trPr>
        <w:tc>
          <w:tcPr>
            <w:tcW w:w="2932" w:type="dxa"/>
            <w:vAlign w:val="center"/>
          </w:tcPr>
          <w:p w14:paraId="27FC4CA7" w14:textId="77777777" w:rsidR="0051780C" w:rsidRPr="00F935CA" w:rsidRDefault="0051780C" w:rsidP="00A573C4">
            <w:pPr>
              <w:pStyle w:val="Heading4"/>
              <w:keepNext w:val="0"/>
              <w:spacing w:after="0"/>
              <w:rPr>
                <w:b w:val="0"/>
              </w:rPr>
            </w:pPr>
            <w:r w:rsidRPr="00F935CA">
              <w:rPr>
                <w:b w:val="0"/>
              </w:rPr>
              <w:t>Chemical name:</w:t>
            </w:r>
          </w:p>
        </w:tc>
        <w:tc>
          <w:tcPr>
            <w:tcW w:w="6014" w:type="dxa"/>
            <w:vAlign w:val="center"/>
          </w:tcPr>
          <w:p w14:paraId="1515680E" w14:textId="77777777" w:rsidR="0051780C" w:rsidRPr="00547FB5" w:rsidRDefault="0051780C" w:rsidP="00A573C4">
            <w:pPr>
              <w:rPr>
                <w:szCs w:val="22"/>
                <w:lang w:val="en-GB"/>
              </w:rPr>
            </w:pPr>
            <w:r w:rsidRPr="00547FB5">
              <w:rPr>
                <w:b/>
                <w:szCs w:val="22"/>
                <w:lang w:val="en-GB"/>
              </w:rPr>
              <w:t>Some common plant sterols</w:t>
            </w:r>
            <w:r w:rsidRPr="00547FB5">
              <w:rPr>
                <w:szCs w:val="22"/>
                <w:lang w:val="en-GB"/>
              </w:rPr>
              <w:t>:</w:t>
            </w:r>
          </w:p>
          <w:p w14:paraId="71459C34" w14:textId="77777777" w:rsidR="0051780C" w:rsidRPr="00547FB5" w:rsidRDefault="0051780C" w:rsidP="00A573C4">
            <w:pPr>
              <w:rPr>
                <w:szCs w:val="22"/>
                <w:lang w:val="en-GB"/>
              </w:rPr>
            </w:pPr>
            <w:r w:rsidRPr="00547FB5">
              <w:rPr>
                <w:szCs w:val="22"/>
                <w:lang w:val="en-GB"/>
              </w:rPr>
              <w:t>Sitosterol: (3β)-Stigmast-5-en-3-ol</w:t>
            </w:r>
          </w:p>
          <w:p w14:paraId="16865CCC" w14:textId="77777777" w:rsidR="0051780C" w:rsidRPr="00547FB5" w:rsidRDefault="0051780C" w:rsidP="00A573C4">
            <w:pPr>
              <w:rPr>
                <w:szCs w:val="22"/>
                <w:lang w:val="en-GB"/>
              </w:rPr>
            </w:pPr>
            <w:r w:rsidRPr="00547FB5">
              <w:rPr>
                <w:szCs w:val="22"/>
                <w:lang w:val="en-GB"/>
              </w:rPr>
              <w:t>Sitostanol: (3β,5α)-Stigmastan-3-ol</w:t>
            </w:r>
          </w:p>
          <w:p w14:paraId="3BA2B2C9" w14:textId="77777777" w:rsidR="0051780C" w:rsidRPr="00547FB5" w:rsidRDefault="0051780C" w:rsidP="00A573C4">
            <w:pPr>
              <w:rPr>
                <w:szCs w:val="22"/>
                <w:lang w:val="en-GB"/>
              </w:rPr>
            </w:pPr>
            <w:r w:rsidRPr="00547FB5">
              <w:rPr>
                <w:szCs w:val="22"/>
                <w:lang w:val="en-GB"/>
              </w:rPr>
              <w:t>Campesterol: (3β)-Ergost-5-en-3-ol</w:t>
            </w:r>
          </w:p>
          <w:p w14:paraId="6BB19718" w14:textId="77777777" w:rsidR="0051780C" w:rsidRPr="00547FB5" w:rsidRDefault="0051780C" w:rsidP="00A573C4">
            <w:pPr>
              <w:rPr>
                <w:szCs w:val="22"/>
                <w:lang w:val="en-GB"/>
              </w:rPr>
            </w:pPr>
            <w:r w:rsidRPr="00547FB5">
              <w:rPr>
                <w:szCs w:val="22"/>
                <w:lang w:val="en-GB"/>
              </w:rPr>
              <w:t>Campestanol: (3β,5α)-Ergostan-3-ol</w:t>
            </w:r>
          </w:p>
          <w:p w14:paraId="16FE57E7" w14:textId="77777777" w:rsidR="0051780C" w:rsidRPr="00547FB5" w:rsidRDefault="0051780C" w:rsidP="00A573C4">
            <w:pPr>
              <w:rPr>
                <w:szCs w:val="22"/>
                <w:lang w:val="en-GB"/>
              </w:rPr>
            </w:pPr>
            <w:r w:rsidRPr="00547FB5">
              <w:rPr>
                <w:szCs w:val="22"/>
                <w:lang w:val="en-GB"/>
              </w:rPr>
              <w:t>Stigmasterol: (3β)-Stigmasta-5,22-dien-3-ol</w:t>
            </w:r>
          </w:p>
          <w:p w14:paraId="367EE6DA" w14:textId="77777777" w:rsidR="0051780C" w:rsidRPr="00547FB5" w:rsidRDefault="0051780C" w:rsidP="00A573C4">
            <w:pPr>
              <w:rPr>
                <w:szCs w:val="22"/>
                <w:lang w:val="en-GB"/>
              </w:rPr>
            </w:pPr>
            <w:r w:rsidRPr="00547FB5">
              <w:rPr>
                <w:szCs w:val="22"/>
                <w:lang w:val="en-GB"/>
              </w:rPr>
              <w:t>Brassicasterol: (3β)-Ergosta-5,22-dien-3-ol</w:t>
            </w:r>
          </w:p>
          <w:p w14:paraId="3D6AF9EF" w14:textId="77777777" w:rsidR="0051780C" w:rsidRPr="00547FB5" w:rsidRDefault="0051780C" w:rsidP="00A573C4">
            <w:pPr>
              <w:rPr>
                <w:szCs w:val="22"/>
                <w:lang w:val="en-GB"/>
              </w:rPr>
            </w:pPr>
          </w:p>
        </w:tc>
      </w:tr>
      <w:tr w:rsidR="0051780C" w:rsidRPr="00552334" w14:paraId="56C3A2AE" w14:textId="77777777" w:rsidTr="00A573C4">
        <w:trPr>
          <w:trHeight w:val="9"/>
          <w:jc w:val="center"/>
        </w:trPr>
        <w:tc>
          <w:tcPr>
            <w:tcW w:w="2932" w:type="dxa"/>
            <w:vAlign w:val="center"/>
          </w:tcPr>
          <w:p w14:paraId="2E869292" w14:textId="77777777" w:rsidR="0051780C" w:rsidRPr="00F935CA" w:rsidRDefault="0051780C" w:rsidP="00A573C4">
            <w:pPr>
              <w:pStyle w:val="Heading4"/>
              <w:keepNext w:val="0"/>
              <w:spacing w:after="0"/>
              <w:ind w:left="0" w:firstLine="0"/>
              <w:rPr>
                <w:b w:val="0"/>
              </w:rPr>
            </w:pPr>
            <w:r w:rsidRPr="00F935CA">
              <w:rPr>
                <w:b w:val="0"/>
              </w:rPr>
              <w:t>Common names:</w:t>
            </w:r>
          </w:p>
        </w:tc>
        <w:tc>
          <w:tcPr>
            <w:tcW w:w="6014" w:type="dxa"/>
            <w:vAlign w:val="center"/>
          </w:tcPr>
          <w:p w14:paraId="7BB1AED9" w14:textId="77777777" w:rsidR="0051780C" w:rsidRPr="00F935CA" w:rsidRDefault="0051780C" w:rsidP="00A573C4">
            <w:pPr>
              <w:pStyle w:val="Heading4"/>
              <w:keepNext w:val="0"/>
              <w:spacing w:before="0" w:after="0"/>
              <w:ind w:left="0" w:firstLine="0"/>
              <w:rPr>
                <w:b w:val="0"/>
                <w:i w:val="0"/>
              </w:rPr>
            </w:pPr>
            <w:r w:rsidRPr="00F935CA">
              <w:rPr>
                <w:b w:val="0"/>
                <w:i w:val="0"/>
              </w:rPr>
              <w:t>Phytosterols, Phytostanols, Phytosterol esters, Phytostanol esters, Plant sterols, plant sterol esters</w:t>
            </w:r>
          </w:p>
          <w:p w14:paraId="6A8DA36E" w14:textId="77777777" w:rsidR="0051780C" w:rsidRPr="00547FB5" w:rsidRDefault="0051780C" w:rsidP="00A573C4">
            <w:pPr>
              <w:rPr>
                <w:lang w:val="en-GB"/>
              </w:rPr>
            </w:pPr>
          </w:p>
        </w:tc>
      </w:tr>
      <w:tr w:rsidR="0051780C" w:rsidRPr="00552334" w14:paraId="59780798" w14:textId="77777777" w:rsidTr="00A573C4">
        <w:trPr>
          <w:trHeight w:val="27"/>
          <w:jc w:val="center"/>
        </w:trPr>
        <w:tc>
          <w:tcPr>
            <w:tcW w:w="2932" w:type="dxa"/>
            <w:vAlign w:val="center"/>
          </w:tcPr>
          <w:p w14:paraId="2A44C062" w14:textId="77777777" w:rsidR="0051780C" w:rsidRPr="00F935CA" w:rsidRDefault="0051780C" w:rsidP="00A573C4">
            <w:pPr>
              <w:pStyle w:val="Heading4"/>
              <w:keepNext w:val="0"/>
              <w:spacing w:after="0"/>
              <w:ind w:left="0" w:firstLine="0"/>
              <w:rPr>
                <w:b w:val="0"/>
              </w:rPr>
            </w:pPr>
            <w:r w:rsidRPr="00F935CA">
              <w:rPr>
                <w:b w:val="0"/>
              </w:rPr>
              <w:t>CAS registry number:</w:t>
            </w:r>
          </w:p>
        </w:tc>
        <w:tc>
          <w:tcPr>
            <w:tcW w:w="6014" w:type="dxa"/>
            <w:vAlign w:val="center"/>
          </w:tcPr>
          <w:p w14:paraId="2A953AE8" w14:textId="77777777" w:rsidR="0051780C" w:rsidRPr="00F935CA" w:rsidRDefault="0051780C" w:rsidP="00A573C4">
            <w:pPr>
              <w:pStyle w:val="Heading4"/>
              <w:keepNext w:val="0"/>
              <w:spacing w:before="0" w:after="0"/>
              <w:rPr>
                <w:b w:val="0"/>
                <w:i w:val="0"/>
              </w:rPr>
            </w:pPr>
            <w:r w:rsidRPr="00F935CA">
              <w:rPr>
                <w:b w:val="0"/>
                <w:i w:val="0"/>
              </w:rPr>
              <w:t>Sitosterol: 83-46-5</w:t>
            </w:r>
          </w:p>
          <w:p w14:paraId="3A019ED0" w14:textId="77777777" w:rsidR="0051780C" w:rsidRPr="00F935CA" w:rsidRDefault="0051780C" w:rsidP="00A573C4">
            <w:pPr>
              <w:pStyle w:val="Heading4"/>
              <w:keepNext w:val="0"/>
              <w:spacing w:before="0" w:after="0"/>
              <w:rPr>
                <w:b w:val="0"/>
                <w:i w:val="0"/>
              </w:rPr>
            </w:pPr>
            <w:r w:rsidRPr="00F935CA">
              <w:rPr>
                <w:b w:val="0"/>
                <w:i w:val="0"/>
              </w:rPr>
              <w:t>Sitostanol: 83-45-4</w:t>
            </w:r>
          </w:p>
          <w:p w14:paraId="6B3664CE" w14:textId="77777777" w:rsidR="0051780C" w:rsidRPr="00F935CA" w:rsidRDefault="0051780C" w:rsidP="00A573C4">
            <w:pPr>
              <w:pStyle w:val="Heading4"/>
              <w:keepNext w:val="0"/>
              <w:spacing w:before="0" w:after="0"/>
              <w:rPr>
                <w:b w:val="0"/>
                <w:i w:val="0"/>
              </w:rPr>
            </w:pPr>
            <w:r w:rsidRPr="00F935CA">
              <w:rPr>
                <w:b w:val="0"/>
                <w:i w:val="0"/>
              </w:rPr>
              <w:t>Campesterol: 474-62-4</w:t>
            </w:r>
          </w:p>
          <w:p w14:paraId="20C62B79" w14:textId="77777777" w:rsidR="0051780C" w:rsidRPr="00F935CA" w:rsidRDefault="0051780C" w:rsidP="00A573C4">
            <w:pPr>
              <w:pStyle w:val="Heading4"/>
              <w:keepNext w:val="0"/>
              <w:spacing w:before="0" w:after="0"/>
              <w:rPr>
                <w:b w:val="0"/>
                <w:i w:val="0"/>
              </w:rPr>
            </w:pPr>
            <w:r w:rsidRPr="00F935CA">
              <w:rPr>
                <w:b w:val="0"/>
                <w:i w:val="0"/>
              </w:rPr>
              <w:t>Campestanol: 474-60-2</w:t>
            </w:r>
          </w:p>
          <w:p w14:paraId="6D7E855D" w14:textId="77777777" w:rsidR="0051780C" w:rsidRPr="00F935CA" w:rsidRDefault="0051780C" w:rsidP="00A573C4">
            <w:pPr>
              <w:pStyle w:val="Heading4"/>
              <w:keepNext w:val="0"/>
              <w:spacing w:before="0" w:after="0"/>
              <w:rPr>
                <w:b w:val="0"/>
                <w:i w:val="0"/>
              </w:rPr>
            </w:pPr>
            <w:r w:rsidRPr="00F935CA">
              <w:rPr>
                <w:b w:val="0"/>
                <w:i w:val="0"/>
              </w:rPr>
              <w:t>Stigmasterol: 83-48-7</w:t>
            </w:r>
          </w:p>
          <w:p w14:paraId="29CF3AC5" w14:textId="77777777" w:rsidR="0051780C" w:rsidRPr="00F935CA" w:rsidRDefault="0051780C" w:rsidP="00A573C4">
            <w:pPr>
              <w:pStyle w:val="Heading4"/>
              <w:keepNext w:val="0"/>
              <w:spacing w:before="0" w:after="0"/>
              <w:ind w:left="0" w:firstLine="0"/>
              <w:rPr>
                <w:b w:val="0"/>
                <w:i w:val="0"/>
              </w:rPr>
            </w:pPr>
            <w:r w:rsidRPr="00F935CA">
              <w:rPr>
                <w:b w:val="0"/>
                <w:i w:val="0"/>
              </w:rPr>
              <w:t>Brassicasterol: 474-67-9</w:t>
            </w:r>
          </w:p>
          <w:p w14:paraId="0E0E6652" w14:textId="77777777" w:rsidR="0051780C" w:rsidRPr="00547FB5" w:rsidRDefault="0051780C" w:rsidP="00A573C4">
            <w:pPr>
              <w:rPr>
                <w:szCs w:val="22"/>
                <w:lang w:val="en-GB"/>
              </w:rPr>
            </w:pPr>
          </w:p>
        </w:tc>
      </w:tr>
      <w:tr w:rsidR="0051780C" w:rsidRPr="00552334" w14:paraId="0021BFD7" w14:textId="77777777" w:rsidTr="00A573C4">
        <w:trPr>
          <w:trHeight w:val="31"/>
          <w:jc w:val="center"/>
        </w:trPr>
        <w:tc>
          <w:tcPr>
            <w:tcW w:w="2932" w:type="dxa"/>
            <w:vAlign w:val="center"/>
          </w:tcPr>
          <w:p w14:paraId="6CC827B6" w14:textId="77777777" w:rsidR="0051780C" w:rsidRPr="00F935CA" w:rsidRDefault="0051780C" w:rsidP="00A573C4">
            <w:pPr>
              <w:pStyle w:val="Heading4"/>
              <w:keepNext w:val="0"/>
              <w:spacing w:after="0"/>
              <w:ind w:left="0" w:firstLine="0"/>
              <w:rPr>
                <w:b w:val="0"/>
              </w:rPr>
            </w:pPr>
            <w:r w:rsidRPr="00F935CA">
              <w:rPr>
                <w:b w:val="0"/>
              </w:rPr>
              <w:t>Chemical formula:</w:t>
            </w:r>
          </w:p>
        </w:tc>
        <w:tc>
          <w:tcPr>
            <w:tcW w:w="6014" w:type="dxa"/>
            <w:vAlign w:val="center"/>
          </w:tcPr>
          <w:p w14:paraId="55A8549F" w14:textId="77777777" w:rsidR="0051780C" w:rsidRPr="00F935CA" w:rsidRDefault="0051780C" w:rsidP="00A573C4">
            <w:pPr>
              <w:pStyle w:val="Heading4"/>
              <w:keepNext w:val="0"/>
              <w:spacing w:before="0" w:after="0"/>
              <w:rPr>
                <w:b w:val="0"/>
                <w:i w:val="0"/>
              </w:rPr>
            </w:pPr>
            <w:r w:rsidRPr="00F935CA">
              <w:rPr>
                <w:b w:val="0"/>
                <w:i w:val="0"/>
              </w:rPr>
              <w:t>Sitosterol: C</w:t>
            </w:r>
            <w:r w:rsidRPr="00F935CA">
              <w:rPr>
                <w:b w:val="0"/>
                <w:i w:val="0"/>
                <w:vertAlign w:val="subscript"/>
              </w:rPr>
              <w:t>29</w:t>
            </w:r>
            <w:r w:rsidRPr="00F935CA">
              <w:rPr>
                <w:b w:val="0"/>
                <w:i w:val="0"/>
              </w:rPr>
              <w:t>H</w:t>
            </w:r>
            <w:r w:rsidRPr="00F935CA">
              <w:rPr>
                <w:b w:val="0"/>
                <w:i w:val="0"/>
                <w:vertAlign w:val="subscript"/>
              </w:rPr>
              <w:t>50</w:t>
            </w:r>
            <w:r w:rsidRPr="00F935CA">
              <w:rPr>
                <w:b w:val="0"/>
                <w:i w:val="0"/>
              </w:rPr>
              <w:t>O</w:t>
            </w:r>
          </w:p>
          <w:p w14:paraId="35C339FE" w14:textId="77777777" w:rsidR="0051780C" w:rsidRPr="00F935CA" w:rsidRDefault="0051780C" w:rsidP="00A573C4">
            <w:pPr>
              <w:pStyle w:val="Heading4"/>
              <w:keepNext w:val="0"/>
              <w:spacing w:before="0" w:after="0"/>
              <w:rPr>
                <w:b w:val="0"/>
                <w:i w:val="0"/>
              </w:rPr>
            </w:pPr>
            <w:r w:rsidRPr="00F935CA">
              <w:rPr>
                <w:b w:val="0"/>
                <w:i w:val="0"/>
              </w:rPr>
              <w:t>Sitostanol: C</w:t>
            </w:r>
            <w:r w:rsidRPr="00F935CA">
              <w:rPr>
                <w:b w:val="0"/>
                <w:i w:val="0"/>
                <w:vertAlign w:val="subscript"/>
              </w:rPr>
              <w:t>29</w:t>
            </w:r>
            <w:r w:rsidRPr="00F935CA">
              <w:rPr>
                <w:b w:val="0"/>
                <w:i w:val="0"/>
              </w:rPr>
              <w:t>H</w:t>
            </w:r>
            <w:r w:rsidRPr="00F935CA">
              <w:rPr>
                <w:b w:val="0"/>
                <w:i w:val="0"/>
                <w:vertAlign w:val="subscript"/>
              </w:rPr>
              <w:t>52</w:t>
            </w:r>
            <w:r w:rsidRPr="00F935CA">
              <w:rPr>
                <w:b w:val="0"/>
                <w:i w:val="0"/>
              </w:rPr>
              <w:t>O</w:t>
            </w:r>
          </w:p>
          <w:p w14:paraId="1D94A423" w14:textId="77777777" w:rsidR="0051780C" w:rsidRPr="00F935CA" w:rsidRDefault="0051780C" w:rsidP="00A573C4">
            <w:pPr>
              <w:pStyle w:val="Heading4"/>
              <w:keepNext w:val="0"/>
              <w:spacing w:before="0" w:after="0"/>
              <w:rPr>
                <w:b w:val="0"/>
                <w:i w:val="0"/>
              </w:rPr>
            </w:pPr>
            <w:r w:rsidRPr="00F935CA">
              <w:rPr>
                <w:b w:val="0"/>
                <w:i w:val="0"/>
              </w:rPr>
              <w:t>Campesterol: C</w:t>
            </w:r>
            <w:r w:rsidRPr="00F935CA">
              <w:rPr>
                <w:b w:val="0"/>
                <w:i w:val="0"/>
                <w:vertAlign w:val="subscript"/>
              </w:rPr>
              <w:t>28</w:t>
            </w:r>
            <w:r w:rsidRPr="00F935CA">
              <w:rPr>
                <w:b w:val="0"/>
                <w:i w:val="0"/>
              </w:rPr>
              <w:t>H</w:t>
            </w:r>
            <w:r w:rsidRPr="00F935CA">
              <w:rPr>
                <w:b w:val="0"/>
                <w:i w:val="0"/>
                <w:vertAlign w:val="subscript"/>
              </w:rPr>
              <w:t>48</w:t>
            </w:r>
            <w:r w:rsidRPr="00F935CA">
              <w:rPr>
                <w:b w:val="0"/>
                <w:i w:val="0"/>
              </w:rPr>
              <w:t>O</w:t>
            </w:r>
          </w:p>
          <w:p w14:paraId="6A69848A" w14:textId="77777777" w:rsidR="0051780C" w:rsidRPr="00F935CA" w:rsidRDefault="0051780C" w:rsidP="00A573C4">
            <w:pPr>
              <w:pStyle w:val="Heading4"/>
              <w:keepNext w:val="0"/>
              <w:spacing w:before="0" w:after="0"/>
              <w:rPr>
                <w:b w:val="0"/>
                <w:i w:val="0"/>
              </w:rPr>
            </w:pPr>
            <w:r w:rsidRPr="00F935CA">
              <w:rPr>
                <w:b w:val="0"/>
                <w:i w:val="0"/>
              </w:rPr>
              <w:t>Campestanol: C</w:t>
            </w:r>
            <w:r w:rsidRPr="00F935CA">
              <w:rPr>
                <w:b w:val="0"/>
                <w:i w:val="0"/>
                <w:vertAlign w:val="subscript"/>
              </w:rPr>
              <w:t>28</w:t>
            </w:r>
            <w:r w:rsidRPr="00F935CA">
              <w:rPr>
                <w:b w:val="0"/>
                <w:i w:val="0"/>
              </w:rPr>
              <w:t>H</w:t>
            </w:r>
            <w:r w:rsidRPr="00F935CA">
              <w:rPr>
                <w:b w:val="0"/>
                <w:i w:val="0"/>
                <w:vertAlign w:val="subscript"/>
              </w:rPr>
              <w:t>50</w:t>
            </w:r>
            <w:r w:rsidRPr="00F935CA">
              <w:rPr>
                <w:b w:val="0"/>
                <w:i w:val="0"/>
              </w:rPr>
              <w:t>O</w:t>
            </w:r>
          </w:p>
          <w:p w14:paraId="6D0E9A51" w14:textId="77777777" w:rsidR="0051780C" w:rsidRPr="00F935CA" w:rsidRDefault="0051780C" w:rsidP="00A573C4">
            <w:pPr>
              <w:pStyle w:val="Heading4"/>
              <w:keepNext w:val="0"/>
              <w:spacing w:before="0" w:after="0"/>
              <w:rPr>
                <w:b w:val="0"/>
                <w:i w:val="0"/>
              </w:rPr>
            </w:pPr>
            <w:r w:rsidRPr="00F935CA">
              <w:rPr>
                <w:b w:val="0"/>
                <w:i w:val="0"/>
              </w:rPr>
              <w:t>Stigmasterol: C</w:t>
            </w:r>
            <w:r w:rsidRPr="00F935CA">
              <w:rPr>
                <w:b w:val="0"/>
                <w:i w:val="0"/>
                <w:vertAlign w:val="subscript"/>
              </w:rPr>
              <w:t>29</w:t>
            </w:r>
            <w:r w:rsidRPr="00F935CA">
              <w:rPr>
                <w:b w:val="0"/>
                <w:i w:val="0"/>
              </w:rPr>
              <w:t>H</w:t>
            </w:r>
            <w:r w:rsidRPr="00F935CA">
              <w:rPr>
                <w:b w:val="0"/>
                <w:i w:val="0"/>
                <w:vertAlign w:val="subscript"/>
              </w:rPr>
              <w:t>48</w:t>
            </w:r>
            <w:r w:rsidRPr="00F935CA">
              <w:rPr>
                <w:b w:val="0"/>
                <w:i w:val="0"/>
              </w:rPr>
              <w:t>O</w:t>
            </w:r>
          </w:p>
          <w:p w14:paraId="6442FCC0" w14:textId="77777777" w:rsidR="0051780C" w:rsidRPr="00F935CA" w:rsidRDefault="0051780C" w:rsidP="00A573C4">
            <w:pPr>
              <w:pStyle w:val="Heading4"/>
              <w:keepNext w:val="0"/>
              <w:spacing w:before="0" w:after="0"/>
              <w:ind w:left="0" w:firstLine="0"/>
              <w:rPr>
                <w:b w:val="0"/>
                <w:i w:val="0"/>
              </w:rPr>
            </w:pPr>
            <w:r w:rsidRPr="00F935CA">
              <w:rPr>
                <w:b w:val="0"/>
                <w:i w:val="0"/>
              </w:rPr>
              <w:t>Brassicasterol: C</w:t>
            </w:r>
            <w:r w:rsidRPr="00F935CA">
              <w:rPr>
                <w:b w:val="0"/>
                <w:i w:val="0"/>
                <w:vertAlign w:val="subscript"/>
              </w:rPr>
              <w:t>28</w:t>
            </w:r>
            <w:r w:rsidRPr="00F935CA">
              <w:rPr>
                <w:b w:val="0"/>
                <w:i w:val="0"/>
              </w:rPr>
              <w:t>H</w:t>
            </w:r>
            <w:r w:rsidRPr="00F935CA">
              <w:rPr>
                <w:b w:val="0"/>
                <w:i w:val="0"/>
                <w:vertAlign w:val="subscript"/>
              </w:rPr>
              <w:t>46</w:t>
            </w:r>
            <w:r w:rsidRPr="00F935CA">
              <w:rPr>
                <w:b w:val="0"/>
                <w:i w:val="0"/>
              </w:rPr>
              <w:t>O</w:t>
            </w:r>
          </w:p>
          <w:p w14:paraId="78E73E2B" w14:textId="77777777" w:rsidR="0051780C" w:rsidRPr="00547FB5" w:rsidRDefault="0051780C" w:rsidP="00A573C4">
            <w:pPr>
              <w:rPr>
                <w:szCs w:val="22"/>
                <w:lang w:val="en-GB"/>
              </w:rPr>
            </w:pPr>
            <w:r w:rsidRPr="00547FB5">
              <w:rPr>
                <w:szCs w:val="22"/>
                <w:lang w:val="en-GB"/>
              </w:rPr>
              <w:t>Campesteryl oleate: C</w:t>
            </w:r>
            <w:r w:rsidRPr="00547FB5">
              <w:rPr>
                <w:szCs w:val="22"/>
                <w:vertAlign w:val="subscript"/>
                <w:lang w:val="en-GB"/>
              </w:rPr>
              <w:t>46</w:t>
            </w:r>
            <w:r w:rsidRPr="00547FB5">
              <w:rPr>
                <w:szCs w:val="22"/>
                <w:lang w:val="en-GB"/>
              </w:rPr>
              <w:t>H</w:t>
            </w:r>
            <w:r w:rsidRPr="00547FB5">
              <w:rPr>
                <w:szCs w:val="22"/>
                <w:vertAlign w:val="subscript"/>
                <w:lang w:val="en-GB"/>
              </w:rPr>
              <w:t>81</w:t>
            </w:r>
            <w:r w:rsidRPr="00547FB5">
              <w:rPr>
                <w:szCs w:val="22"/>
                <w:lang w:val="en-GB"/>
              </w:rPr>
              <w:t>O</w:t>
            </w:r>
            <w:r w:rsidRPr="00547FB5">
              <w:rPr>
                <w:szCs w:val="22"/>
                <w:vertAlign w:val="subscript"/>
                <w:lang w:val="en-GB"/>
              </w:rPr>
              <w:t>2</w:t>
            </w:r>
          </w:p>
          <w:p w14:paraId="5A48F174" w14:textId="77777777" w:rsidR="0051780C" w:rsidRPr="00547FB5" w:rsidRDefault="0051780C" w:rsidP="00A573C4">
            <w:pPr>
              <w:rPr>
                <w:vertAlign w:val="subscript"/>
                <w:lang w:val="en-GB"/>
              </w:rPr>
            </w:pPr>
            <w:r w:rsidRPr="00547FB5">
              <w:rPr>
                <w:szCs w:val="22"/>
                <w:lang w:val="en-GB"/>
              </w:rPr>
              <w:t>Sitostanyl oleate: C</w:t>
            </w:r>
            <w:r w:rsidRPr="00547FB5">
              <w:rPr>
                <w:szCs w:val="22"/>
                <w:vertAlign w:val="subscript"/>
                <w:lang w:val="en-GB"/>
              </w:rPr>
              <w:t>47</w:t>
            </w:r>
            <w:r w:rsidRPr="00547FB5">
              <w:rPr>
                <w:szCs w:val="22"/>
                <w:lang w:val="en-GB"/>
              </w:rPr>
              <w:t>H</w:t>
            </w:r>
            <w:r w:rsidRPr="00547FB5">
              <w:rPr>
                <w:szCs w:val="22"/>
                <w:vertAlign w:val="subscript"/>
                <w:lang w:val="en-GB"/>
              </w:rPr>
              <w:t>85</w:t>
            </w:r>
            <w:r w:rsidRPr="00547FB5">
              <w:rPr>
                <w:szCs w:val="22"/>
                <w:lang w:val="en-GB"/>
              </w:rPr>
              <w:t>O</w:t>
            </w:r>
            <w:r w:rsidRPr="00547FB5">
              <w:rPr>
                <w:szCs w:val="22"/>
                <w:vertAlign w:val="subscript"/>
                <w:lang w:val="en-GB"/>
              </w:rPr>
              <w:t>2</w:t>
            </w:r>
          </w:p>
          <w:p w14:paraId="3B63D651" w14:textId="77777777" w:rsidR="0051780C" w:rsidRPr="00547FB5" w:rsidRDefault="0051780C" w:rsidP="00A573C4">
            <w:pPr>
              <w:rPr>
                <w:szCs w:val="22"/>
                <w:lang w:val="en-GB"/>
              </w:rPr>
            </w:pPr>
          </w:p>
        </w:tc>
      </w:tr>
      <w:tr w:rsidR="0051780C" w:rsidRPr="00552334" w14:paraId="5E988C56" w14:textId="77777777" w:rsidTr="00A573C4">
        <w:trPr>
          <w:trHeight w:val="34"/>
          <w:jc w:val="center"/>
        </w:trPr>
        <w:tc>
          <w:tcPr>
            <w:tcW w:w="2932" w:type="dxa"/>
            <w:vAlign w:val="center"/>
          </w:tcPr>
          <w:p w14:paraId="29C9497D" w14:textId="77777777" w:rsidR="0051780C" w:rsidRPr="00F935CA" w:rsidRDefault="0051780C" w:rsidP="00A573C4">
            <w:pPr>
              <w:pStyle w:val="Heading4"/>
              <w:keepNext w:val="0"/>
              <w:spacing w:after="0"/>
              <w:ind w:left="0" w:firstLine="0"/>
              <w:rPr>
                <w:b w:val="0"/>
              </w:rPr>
            </w:pPr>
            <w:r w:rsidRPr="00F935CA">
              <w:rPr>
                <w:b w:val="0"/>
              </w:rPr>
              <w:t>Molecular weight (g/mol):</w:t>
            </w:r>
          </w:p>
        </w:tc>
        <w:tc>
          <w:tcPr>
            <w:tcW w:w="6014" w:type="dxa"/>
            <w:vAlign w:val="center"/>
          </w:tcPr>
          <w:p w14:paraId="2A150499" w14:textId="77777777" w:rsidR="0051780C" w:rsidRPr="00F935CA" w:rsidRDefault="0051780C" w:rsidP="00A573C4">
            <w:pPr>
              <w:pStyle w:val="Heading4"/>
              <w:keepNext w:val="0"/>
              <w:spacing w:before="0" w:after="0"/>
              <w:rPr>
                <w:b w:val="0"/>
                <w:i w:val="0"/>
              </w:rPr>
            </w:pPr>
            <w:r w:rsidRPr="00F935CA">
              <w:rPr>
                <w:b w:val="0"/>
                <w:i w:val="0"/>
              </w:rPr>
              <w:t>Sitosterol: 414.72</w:t>
            </w:r>
          </w:p>
          <w:p w14:paraId="035E2EB0" w14:textId="77777777" w:rsidR="0051780C" w:rsidRPr="00F935CA" w:rsidRDefault="0051780C" w:rsidP="00A573C4">
            <w:pPr>
              <w:pStyle w:val="Heading4"/>
              <w:keepNext w:val="0"/>
              <w:spacing w:before="0" w:after="0"/>
              <w:rPr>
                <w:b w:val="0"/>
                <w:i w:val="0"/>
              </w:rPr>
            </w:pPr>
            <w:r w:rsidRPr="00F935CA">
              <w:rPr>
                <w:b w:val="0"/>
                <w:i w:val="0"/>
              </w:rPr>
              <w:t>Sitostanol: 416.73</w:t>
            </w:r>
          </w:p>
          <w:p w14:paraId="4F31C5E4" w14:textId="77777777" w:rsidR="0051780C" w:rsidRPr="00F935CA" w:rsidRDefault="0051780C" w:rsidP="00A573C4">
            <w:pPr>
              <w:pStyle w:val="Heading4"/>
              <w:keepNext w:val="0"/>
              <w:spacing w:before="0" w:after="0"/>
              <w:rPr>
                <w:b w:val="0"/>
                <w:i w:val="0"/>
              </w:rPr>
            </w:pPr>
            <w:r w:rsidRPr="00F935CA">
              <w:rPr>
                <w:b w:val="0"/>
                <w:i w:val="0"/>
              </w:rPr>
              <w:t>Campesterol: 400.69</w:t>
            </w:r>
          </w:p>
          <w:p w14:paraId="43819F42" w14:textId="77777777" w:rsidR="0051780C" w:rsidRPr="00F935CA" w:rsidRDefault="0051780C" w:rsidP="00A573C4">
            <w:pPr>
              <w:pStyle w:val="Heading4"/>
              <w:keepNext w:val="0"/>
              <w:spacing w:before="0" w:after="0"/>
              <w:rPr>
                <w:b w:val="0"/>
                <w:i w:val="0"/>
              </w:rPr>
            </w:pPr>
            <w:r w:rsidRPr="00F935CA">
              <w:rPr>
                <w:b w:val="0"/>
                <w:i w:val="0"/>
              </w:rPr>
              <w:t>Campestanol: 402.70</w:t>
            </w:r>
          </w:p>
          <w:p w14:paraId="5EC7823D" w14:textId="77777777" w:rsidR="0051780C" w:rsidRPr="00F935CA" w:rsidRDefault="0051780C" w:rsidP="00A573C4">
            <w:pPr>
              <w:pStyle w:val="Heading4"/>
              <w:keepNext w:val="0"/>
              <w:spacing w:before="0" w:after="0"/>
              <w:rPr>
                <w:b w:val="0"/>
                <w:i w:val="0"/>
              </w:rPr>
            </w:pPr>
            <w:r w:rsidRPr="00F935CA">
              <w:rPr>
                <w:b w:val="0"/>
                <w:i w:val="0"/>
              </w:rPr>
              <w:t>Stigmasterol: 412.67</w:t>
            </w:r>
          </w:p>
          <w:p w14:paraId="26DC4124" w14:textId="77777777" w:rsidR="0051780C" w:rsidRPr="00F935CA" w:rsidRDefault="0051780C" w:rsidP="00A573C4">
            <w:pPr>
              <w:pStyle w:val="Heading4"/>
              <w:keepNext w:val="0"/>
              <w:spacing w:before="0" w:after="0"/>
              <w:ind w:left="0" w:firstLine="0"/>
              <w:rPr>
                <w:b w:val="0"/>
                <w:i w:val="0"/>
              </w:rPr>
            </w:pPr>
            <w:r w:rsidRPr="00F935CA">
              <w:rPr>
                <w:b w:val="0"/>
                <w:i w:val="0"/>
              </w:rPr>
              <w:t>Brassicasterol: 398.67</w:t>
            </w:r>
          </w:p>
          <w:p w14:paraId="6ABBD9E4" w14:textId="77777777" w:rsidR="0051780C" w:rsidRPr="00547FB5" w:rsidRDefault="0051780C" w:rsidP="00A573C4">
            <w:pPr>
              <w:rPr>
                <w:szCs w:val="22"/>
                <w:lang w:val="en-GB"/>
              </w:rPr>
            </w:pPr>
            <w:r w:rsidRPr="00547FB5">
              <w:rPr>
                <w:szCs w:val="22"/>
                <w:lang w:val="en-GB"/>
              </w:rPr>
              <w:t>Campesteryl oleate: 683.19</w:t>
            </w:r>
          </w:p>
          <w:p w14:paraId="43A2FB89" w14:textId="77777777" w:rsidR="0051780C" w:rsidRPr="00547FB5" w:rsidRDefault="0051780C" w:rsidP="00A573C4">
            <w:pPr>
              <w:rPr>
                <w:szCs w:val="22"/>
                <w:lang w:val="en-GB"/>
              </w:rPr>
            </w:pPr>
            <w:r w:rsidRPr="00547FB5">
              <w:rPr>
                <w:szCs w:val="22"/>
                <w:lang w:val="en-GB"/>
              </w:rPr>
              <w:t>Sitostanyl oleate: 699.19</w:t>
            </w:r>
          </w:p>
        </w:tc>
      </w:tr>
      <w:tr w:rsidR="0051780C" w:rsidRPr="00552334" w14:paraId="2117AF98" w14:textId="77777777" w:rsidTr="00A573C4">
        <w:trPr>
          <w:trHeight w:val="33"/>
          <w:jc w:val="center"/>
        </w:trPr>
        <w:tc>
          <w:tcPr>
            <w:tcW w:w="8947" w:type="dxa"/>
            <w:gridSpan w:val="2"/>
          </w:tcPr>
          <w:p w14:paraId="1D4CA9B8" w14:textId="77777777" w:rsidR="0051780C" w:rsidRPr="00F935CA" w:rsidRDefault="0051780C" w:rsidP="00A573C4">
            <w:pPr>
              <w:pStyle w:val="Heading4"/>
              <w:keepNext w:val="0"/>
              <w:spacing w:before="0" w:after="0"/>
              <w:ind w:left="0" w:firstLine="0"/>
              <w:jc w:val="center"/>
            </w:pPr>
            <w:r w:rsidRPr="00552334">
              <w:rPr>
                <w:b w:val="0"/>
                <w:noProof/>
                <w:lang w:val="en-GB" w:eastAsia="en-GB"/>
              </w:rPr>
              <w:lastRenderedPageBreak/>
              <w:drawing>
                <wp:inline distT="0" distB="0" distL="0" distR="0" wp14:anchorId="557FECA2" wp14:editId="73F61023">
                  <wp:extent cx="1843779" cy="1329070"/>
                  <wp:effectExtent l="0" t="0" r="4445" b="4445"/>
                  <wp:docPr id="4" name="Picture 4" descr="Basic chemical structure for plant sterols" title="Steroid skeleton structure for plant ste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0933" cy="1341436"/>
                          </a:xfrm>
                          <a:prstGeom prst="rect">
                            <a:avLst/>
                          </a:prstGeom>
                          <a:noFill/>
                          <a:ln>
                            <a:noFill/>
                          </a:ln>
                        </pic:spPr>
                      </pic:pic>
                    </a:graphicData>
                  </a:graphic>
                </wp:inline>
              </w:drawing>
            </w:r>
          </w:p>
        </w:tc>
      </w:tr>
    </w:tbl>
    <w:p w14:paraId="420F7FC2" w14:textId="344CD8BE" w:rsidR="0051780C" w:rsidRPr="00547FB5" w:rsidRDefault="0051780C" w:rsidP="002A0924">
      <w:pPr>
        <w:keepNext/>
        <w:rPr>
          <w:lang w:val="en-GB"/>
        </w:rPr>
      </w:pPr>
      <w:r w:rsidRPr="002A0924">
        <w:rPr>
          <w:i/>
          <w:iCs/>
          <w:lang w:val="en-GB"/>
        </w:rPr>
        <w:t>Figure 1</w:t>
      </w:r>
      <w:r>
        <w:rPr>
          <w:i/>
          <w:iCs/>
          <w:lang w:val="en-GB"/>
        </w:rPr>
        <w:t xml:space="preserve">: </w:t>
      </w:r>
      <w:r w:rsidRPr="00547FB5">
        <w:rPr>
          <w:i/>
          <w:iCs/>
          <w:lang w:val="en-GB"/>
        </w:rPr>
        <w:t xml:space="preserve">Steroid skeleton structure for plant sterols </w:t>
      </w:r>
      <w:r w:rsidRPr="00547FB5">
        <w:rPr>
          <w:i/>
          <w:iCs/>
          <w:lang w:val="en-GB"/>
        </w:rPr>
        <w:fldChar w:fldCharType="begin" w:fldLock="1"/>
      </w:r>
      <w:r w:rsidRPr="00547FB5">
        <w:rPr>
          <w:i/>
          <w:iCs/>
          <w:lang w:val="en-GB"/>
        </w:rPr>
        <w:instrText>ADDIN CSL_CITATION { "citationItems" : [ { "id" : "ITEM-1", "itemData" : { "author" : [ { "dropping-particle" : "", "family" : "JECFA", "given" : "", "non-dropping-particle" : "", "parse-names" : false, "suffix" : "" } ], "id" : "ITEM-1", "issued" : { "date-parts" : [ [ "2008" ] ] }, "number-of-pages" : "Monograph 5", "publisher-place" : "Rome, Italy", "title" : "Combined Compendium of Food Additive Specifications", "type" : "report" }, "prefix" : "taken from ", "uris" : [ "http://www.mendeley.com/documents/?uuid=e7838d99-8db3-445d-a44d-ec018e873203" ] } ], "mendeley" : { "formattedCitation" : "(taken from JECFA 2008)", "plainTextFormattedCitation" : "(taken from JECFA 2008)", "previouslyFormattedCitation" : "(taken from JECFA 2008)" }, "properties" : { "noteIndex" : 0 }, "schema" : "https://github.com/citation-style-language/schema/raw/master/csl-citation.json" }</w:instrText>
      </w:r>
      <w:r w:rsidRPr="00547FB5">
        <w:rPr>
          <w:i/>
          <w:iCs/>
          <w:lang w:val="en-GB"/>
        </w:rPr>
        <w:fldChar w:fldCharType="separate"/>
      </w:r>
      <w:r w:rsidRPr="00547FB5">
        <w:rPr>
          <w:iCs/>
          <w:noProof/>
          <w:lang w:val="en-GB"/>
        </w:rPr>
        <w:t>(taken from JECFA 2008)</w:t>
      </w:r>
      <w:r w:rsidRPr="00547FB5">
        <w:rPr>
          <w:i/>
          <w:iCs/>
          <w:lang w:val="en-GB"/>
        </w:rPr>
        <w:fldChar w:fldCharType="end"/>
      </w:r>
      <w:r w:rsidRPr="00547FB5">
        <w:rPr>
          <w:i/>
          <w:iCs/>
          <w:lang w:val="en-GB"/>
        </w:rPr>
        <w:t xml:space="preserve"> (full chemical structures are also provided for sitosterol, sitostanol, campesterol and campestanol, along with sitostanyl oleate in this reference)</w:t>
      </w:r>
    </w:p>
    <w:p w14:paraId="114AB7AE" w14:textId="77777777" w:rsidR="00B14D36" w:rsidRPr="00B14D36" w:rsidRDefault="00B14D36" w:rsidP="00B14D36">
      <w:pPr>
        <w:pStyle w:val="Heading2"/>
      </w:pPr>
      <w:bookmarkStart w:id="91" w:name="_Toc463507630"/>
      <w:bookmarkStart w:id="92" w:name="_Toc463881771"/>
      <w:bookmarkStart w:id="93" w:name="_Toc464569625"/>
      <w:bookmarkStart w:id="94" w:name="_Toc466903379"/>
      <w:bookmarkStart w:id="95" w:name="_Toc466909044"/>
      <w:bookmarkStart w:id="96" w:name="_Toc466986160"/>
      <w:bookmarkStart w:id="97" w:name="_Toc466986213"/>
      <w:bookmarkStart w:id="98" w:name="_Toc467052879"/>
      <w:bookmarkStart w:id="99" w:name="_Toc467064031"/>
      <w:bookmarkStart w:id="100" w:name="_Toc467064478"/>
      <w:bookmarkStart w:id="101" w:name="_Toc467077485"/>
      <w:bookmarkStart w:id="102" w:name="_Toc477274205"/>
      <w:r w:rsidRPr="00B14D36">
        <w:t>2.3</w:t>
      </w:r>
      <w:r w:rsidRPr="00B14D36">
        <w:tab/>
        <w:t>Analytical method for detection</w:t>
      </w:r>
      <w:bookmarkEnd w:id="91"/>
      <w:bookmarkEnd w:id="92"/>
      <w:bookmarkEnd w:id="93"/>
      <w:bookmarkEnd w:id="94"/>
      <w:bookmarkEnd w:id="95"/>
      <w:bookmarkEnd w:id="96"/>
      <w:bookmarkEnd w:id="97"/>
      <w:bookmarkEnd w:id="98"/>
      <w:bookmarkEnd w:id="99"/>
      <w:bookmarkEnd w:id="100"/>
      <w:bookmarkEnd w:id="101"/>
      <w:bookmarkEnd w:id="102"/>
    </w:p>
    <w:p w14:paraId="4496AD96" w14:textId="77777777" w:rsidR="0051780C" w:rsidRDefault="0051780C" w:rsidP="0051780C">
      <w:pPr>
        <w:rPr>
          <w:lang w:val="en-GB"/>
        </w:rPr>
      </w:pPr>
      <w:r w:rsidRPr="00547FB5">
        <w:rPr>
          <w:lang w:val="en-GB"/>
        </w:rPr>
        <w:t>Plant sterols have been permitted to be added to different types of food in Australia and New Zealand, and many other countries, for many years. The analysis of the presence of, and the</w:t>
      </w:r>
      <w:r w:rsidRPr="00547FB5" w:rsidDel="000A59E7">
        <w:rPr>
          <w:lang w:val="en-GB"/>
        </w:rPr>
        <w:t xml:space="preserve"> </w:t>
      </w:r>
      <w:r w:rsidRPr="00547FB5">
        <w:rPr>
          <w:lang w:val="en-GB"/>
        </w:rPr>
        <w:t xml:space="preserve">amounts of, added plant sterols in different food matrices has also been well established and published in the scientific analytical literature </w:t>
      </w:r>
      <w:r w:rsidRPr="00547FB5">
        <w:rPr>
          <w:lang w:val="en-GB"/>
        </w:rPr>
        <w:fldChar w:fldCharType="begin" w:fldLock="1"/>
      </w:r>
      <w:r w:rsidRPr="00547FB5">
        <w:rPr>
          <w:lang w:val="en-GB"/>
        </w:rPr>
        <w:instrText>ADDIN CSL_CITATION { "citationItems" : [ { "id" : "ITEM-1", "itemData" : { "DOI" : "10.1002/ejlt.200501134", "ISBN" : "1438-9312", "ISSN" : "14387697", "abstract" : "Two methods suitable for routine phytostanol/phytosterol analysis of various sterol- enriched food matrices and phytostanyl/phytosteryl fatty acid ester ingredients are introduced. A method based on hot saponification of a sample with ethanolic potas- sium hydroxide in the presence of an internal standard (5b-cholestan-3a-ol) is ade- quate for most matrices, such as spread, milk and yoghurt. Some matrices, like pasta, require acid hydrolysis in order to release matrix-incorporated bound sterols or sterols from steryl glycosides before the saponification step. After saponification, the unsa- ponifiable material containing phytostanols and phytosterols is extracted into an organic solvent (e.g. heptane), followed by evaporation of the solvent to dryness. Sterols are separated as their trimethylsilyl ether derivatives with a gas-liquid chroma- tograph (GC), on a column coated with 5% phenyl/95% dimethylpolysiloxane, and detected with a flame ionization detector. The GC conditions applied provide efficient separation of the most abundant phytostanols/phytosterols in 15min, a wide linear range of stanols/sterols without the need of defining sterol response factors. The methods are repeatable and accurate, as shown with standard addition trials. These methods were applied to determine phytostanol/phytosterol contents of several sterol- enriched functional food products, and the analyzed amounts were in good accor- dance with the information provided on the packaging labels.", "author" : [ { "dropping-particle" : "", "family" : "Laakso", "given" : "P\u00e4ivi", "non-dropping-particle" : "", "parse-names" : false, "suffix" : "" } ], "container-title" : "European Journal of Lipid Science and Technology", "id" : "ITEM-1", "issue" : "6", "issued" : { "date-parts" : [ [ "2005" ] ] }, "page" : "402-410", "title" : "Analysis of sterols from various food matrices", "type" : "article-journal", "volume" : "107" }, "uris" : [ "http://www.mendeley.com/documents/?uuid=6a7e09f6-df3f-4770-939e-df00055497e7" ] } ], "mendeley" : { "formattedCitation" : "(Laakso 2005)", "plainTextFormattedCitation" : "(Laakso 2005)", "previouslyFormattedCitation" : "(Laakso 2005)" }, "properties" : { "noteIndex" : 0 }, "schema" : "https://github.com/citation-style-language/schema/raw/master/csl-citation.json" }</w:instrText>
      </w:r>
      <w:r w:rsidRPr="00547FB5">
        <w:rPr>
          <w:lang w:val="en-GB"/>
        </w:rPr>
        <w:fldChar w:fldCharType="separate"/>
      </w:r>
      <w:r w:rsidRPr="00547FB5">
        <w:rPr>
          <w:noProof/>
          <w:lang w:val="en-GB"/>
        </w:rPr>
        <w:t>(Laakso 2005)</w:t>
      </w:r>
      <w:r w:rsidRPr="00547FB5">
        <w:rPr>
          <w:lang w:val="en-GB"/>
        </w:rPr>
        <w:fldChar w:fldCharType="end"/>
      </w:r>
      <w:r w:rsidRPr="00547FB5">
        <w:rPr>
          <w:lang w:val="en-GB"/>
        </w:rPr>
        <w:t>. Analytical methods for quantification of plant sterols include the trimethylsilyl (TMS) derivatives, by gas chromatography with a flame ionisation detector (GC-FID).</w:t>
      </w:r>
    </w:p>
    <w:p w14:paraId="638E2C0E" w14:textId="77777777" w:rsidR="0051780C" w:rsidRPr="00547FB5" w:rsidRDefault="0051780C" w:rsidP="0051780C">
      <w:pPr>
        <w:rPr>
          <w:lang w:val="en-GB"/>
        </w:rPr>
      </w:pPr>
    </w:p>
    <w:p w14:paraId="603D09BF" w14:textId="77777777" w:rsidR="0051780C" w:rsidRPr="00547FB5" w:rsidRDefault="0051780C" w:rsidP="0051780C">
      <w:pPr>
        <w:rPr>
          <w:lang w:val="en-GB"/>
        </w:rPr>
      </w:pPr>
      <w:r w:rsidRPr="00547FB5">
        <w:rPr>
          <w:lang w:val="en-GB"/>
        </w:rPr>
        <w:t xml:space="preserve">Laakso </w:t>
      </w:r>
      <w:r w:rsidRPr="00547FB5">
        <w:rPr>
          <w:lang w:val="en-GB"/>
        </w:rPr>
        <w:fldChar w:fldCharType="begin" w:fldLock="1"/>
      </w:r>
      <w:r w:rsidRPr="00547FB5">
        <w:rPr>
          <w:lang w:val="en-GB"/>
        </w:rPr>
        <w:instrText>ADDIN CSL_CITATION { "citationItems" : [ { "id" : "ITEM-1", "itemData" : { "DOI" : "10.1002/ejlt.200501134", "ISBN" : "1438-9312", "ISSN" : "14387697", "abstract" : "Two methods suitable for routine phytostanol/phytosterol analysis of various sterol- enriched food matrices and phytostanyl/phytosteryl fatty acid ester ingredients are introduced. A method based on hot saponification of a sample with ethanolic potas- sium hydroxide in the presence of an internal standard (5b-cholestan-3a-ol) is ade- quate for most matrices, such as spread, milk and yoghurt. Some matrices, like pasta, require acid hydrolysis in order to release matrix-incorporated bound sterols or sterols from steryl glycosides before the saponification step. After saponification, the unsa- ponifiable material containing phytostanols and phytosterols is extracted into an organic solvent (e.g. heptane), followed by evaporation of the solvent to dryness. Sterols are separated as their trimethylsilyl ether derivatives with a gas-liquid chroma- tograph (GC), on a column coated with 5% phenyl/95% dimethylpolysiloxane, and detected with a flame ionization detector. The GC conditions applied provide efficient separation of the most abundant phytostanols/phytosterols in 15min, a wide linear range of stanols/sterols without the need of defining sterol response factors. The methods are repeatable and accurate, as shown with standard addition trials. These methods were applied to determine phytostanol/phytosterol contents of several sterol- enriched functional food products, and the analyzed amounts were in good accor- dance with the information provided on the packaging labels.", "author" : [ { "dropping-particle" : "", "family" : "Laakso", "given" : "P\u00e4ivi", "non-dropping-particle" : "", "parse-names" : false, "suffix" : "" } ], "container-title" : "European Journal of Lipid Science and Technology", "id" : "ITEM-1", "issue" : "6", "issued" : { "date-parts" : [ [ "2005" ] ] }, "page" : "402-410", "title" : "Analysis of sterols from various food matrices", "type" : "article-journal", "volume" : "107" }, "suppress-author" : 1, "uris" : [ "http://www.mendeley.com/documents/?uuid=6a7e09f6-df3f-4770-939e-df00055497e7" ] } ], "mendeley" : { "formattedCitation" : "(2005)", "plainTextFormattedCitation" : "(2005)", "previouslyFormattedCitation" : "(2005)" }, "properties" : { "noteIndex" : 0 }, "schema" : "https://github.com/citation-style-language/schema/raw/master/csl-citation.json" }</w:instrText>
      </w:r>
      <w:r w:rsidRPr="00547FB5">
        <w:rPr>
          <w:lang w:val="en-GB"/>
        </w:rPr>
        <w:fldChar w:fldCharType="separate"/>
      </w:r>
      <w:r w:rsidRPr="00547FB5">
        <w:rPr>
          <w:noProof/>
          <w:lang w:val="en-GB"/>
        </w:rPr>
        <w:t>(2005)</w:t>
      </w:r>
      <w:r w:rsidRPr="00547FB5">
        <w:rPr>
          <w:lang w:val="en-GB"/>
        </w:rPr>
        <w:fldChar w:fldCharType="end"/>
      </w:r>
      <w:r w:rsidRPr="00547FB5">
        <w:rPr>
          <w:lang w:val="en-GB"/>
        </w:rPr>
        <w:t xml:space="preserve"> indicates that some food matrices, such as pasta (but which could include breakfast cereals), may require an acid hydrolysis step to release the plant sterols bound to the food matrix, before the saponification step which uses 2M ethanolic potassium hydroxide.</w:t>
      </w:r>
    </w:p>
    <w:p w14:paraId="20ABDD79" w14:textId="77777777" w:rsidR="0051780C" w:rsidRPr="00547FB5" w:rsidRDefault="0051780C" w:rsidP="0051780C">
      <w:pPr>
        <w:rPr>
          <w:lang w:val="en-GB"/>
        </w:rPr>
      </w:pPr>
    </w:p>
    <w:p w14:paraId="7C5C32CF" w14:textId="77777777" w:rsidR="0051780C" w:rsidRDefault="0051780C" w:rsidP="0051780C">
      <w:pPr>
        <w:rPr>
          <w:lang w:val="en-GB"/>
        </w:rPr>
      </w:pPr>
      <w:r w:rsidRPr="00547FB5">
        <w:rPr>
          <w:lang w:val="en-GB"/>
        </w:rPr>
        <w:t xml:space="preserve">There is an Official Method of Analysis of AOAC International (Official Method 994.10) for cholesterol in food which is a GC-FID method which can be modified to analyse for plant sterols </w:t>
      </w:r>
      <w:r w:rsidRPr="00547FB5">
        <w:rPr>
          <w:lang w:val="en-GB"/>
        </w:rPr>
        <w:fldChar w:fldCharType="begin" w:fldLock="1"/>
      </w:r>
      <w:r w:rsidRPr="00547FB5">
        <w:rPr>
          <w:lang w:val="en-GB"/>
        </w:rPr>
        <w:instrText>ADDIN CSL_CITATION { "citationItems" : [ { "id" : "ITEM-1", "itemData" : { "author" : [ { "dropping-particle" : "", "family" : "AOAC International", "given" : "", "non-dropping-particle" : "", "parse-names" : false, "suffix" : "" } ], "container-title" : "Official Methods of Analysis of AOAC International", "edition" : "18th", "id" : "ITEM-1", "issued" : { "date-parts" : [ [ "2011" ] ] }, "publisher-place" : "Gaithersburg, MD, USA", "title" : "AOAC Official Method 994.10: Cholesterol in Foods. Direct Saponification\u2014Gas Chromatographic Method.", "type" : "chapter" }, "uris" : [ "http://www.mendeley.com/documents/?uuid=13ff605b-7e08-4ae1-b647-a102ea1251a7" ] } ], "mendeley" : { "formattedCitation" : "(AOAC International 2011)", "plainTextFormattedCitation" : "(AOAC International 2011)", "previouslyFormattedCitation" : "(AOAC International 2011)" }, "properties" : { "noteIndex" : 0 }, "schema" : "https://github.com/citation-style-language/schema/raw/master/csl-citation.json" }</w:instrText>
      </w:r>
      <w:r w:rsidRPr="00547FB5">
        <w:rPr>
          <w:lang w:val="en-GB"/>
        </w:rPr>
        <w:fldChar w:fldCharType="separate"/>
      </w:r>
      <w:r w:rsidRPr="00547FB5">
        <w:rPr>
          <w:noProof/>
          <w:lang w:val="en-GB"/>
        </w:rPr>
        <w:t>(AOAC International 2011)</w:t>
      </w:r>
      <w:r w:rsidRPr="00547FB5">
        <w:rPr>
          <w:lang w:val="en-GB"/>
        </w:rPr>
        <w:fldChar w:fldCharType="end"/>
      </w:r>
      <w:r w:rsidRPr="00547FB5">
        <w:rPr>
          <w:lang w:val="en-GB"/>
        </w:rPr>
        <w:t>. There is also an ISO method, ISO 12228-1:2014 “Determination of individual and total sterols contents – Gas chromatography method-Part 1: Animal and vegetable fats and oils” which can also be modified as required</w:t>
      </w:r>
      <w:r>
        <w:rPr>
          <w:lang w:val="en-GB"/>
        </w:rPr>
        <w:t xml:space="preserve">. </w:t>
      </w:r>
    </w:p>
    <w:p w14:paraId="060755F3" w14:textId="77777777" w:rsidR="00784B51" w:rsidRDefault="00784B51" w:rsidP="00784B51">
      <w:pPr>
        <w:rPr>
          <w:lang w:val="en-GB"/>
        </w:rPr>
      </w:pPr>
    </w:p>
    <w:p w14:paraId="6278F0AA" w14:textId="6AB1D6AC" w:rsidR="00784B51" w:rsidRPr="00547FB5" w:rsidRDefault="00784B51" w:rsidP="00335CC0">
      <w:pPr>
        <w:rPr>
          <w:lang w:val="en-GB"/>
        </w:rPr>
      </w:pPr>
      <w:r w:rsidRPr="008906CB">
        <w:rPr>
          <w:lang w:val="en-GB"/>
        </w:rPr>
        <w:t xml:space="preserve">More recent analytical methods have been published which use the same methods as above. The US FDA published work it had done in 2015 </w:t>
      </w:r>
      <w:r w:rsidR="00335CC0" w:rsidRPr="008906CB">
        <w:rPr>
          <w:lang w:val="en-GB"/>
        </w:rPr>
        <w:fldChar w:fldCharType="begin" w:fldLock="1"/>
      </w:r>
      <w:r w:rsidR="00335CC0" w:rsidRPr="008906CB">
        <w:rPr>
          <w:lang w:val="en-GB"/>
        </w:rPr>
        <w:instrText>ADDIN CSL_CITATION { "citationItems" : [ { "id" : "ITEM-1", "itemData" : { "DOI" : "10.1016/j.jfca.2015.01.008", "ISSN" : "08891575", "abstract" : "Plant sterols and plant stanols, collectively referred to as phytosterols, are currently added to conventional foods and dietary supplements for the purpose of reducing the risk of coronary heart disease (CHD). The objective of the present study was to validate a method for the determination of the content and composition of plant sterols/stanols in foods and dietary supplements containing added phytosterols. Chromatographic conditions with this method permitted the near-baseline resolution of the five major phytosterols (campesterol, campestanol, stigmasterol, ??-sitosterol, sitostanol) that are the subject of the United States Food and Drug Administration's (FDA) health claim on the relationship between phytosterols and reduced risk of CHD. Analyzed samples (. n=. 25) showed total phytosterol contents that varied from 0.2 to 55.2. g/100. g, or 0.02 to 2.3. g/serving. The mean total phytosterol content was 105. ??. 14% of label declarations (range: 83-137%). Thirteen (13) products (52%) carried the FDA's health claim. This work is the first to evaluate the content and composition of phytosterols from the wide variety of products containing added phytosterols currently available in the United States and their use of the FDA's health claim for phytosterols and reduced risk of CHD.", "author" : [ { "dropping-particle" : "", "family" : "Srigley", "given" : "Cynthia T.", "non-dropping-particle" : "", "parse-names" : false, "suffix" : "" }, { "dropping-particle" : "", "family" : "Haile", "given" : "Ermias A.", "non-dropping-particle" : "", "parse-names" : false, "suffix" : "" } ], "container-title" : "Journal of Food Composition and Analysis", "id" : "ITEM-1", "issued" : { "date-parts" : [ [ "2015" ] ] }, "page" : "163-176", "title" : "Quantification of plant sterols/stanols in foods and dietary supplements containing added phytosterols", "type" : "article-journal", "volume" : "40" }, "uris" : [ "http://www.mendeley.com/documents/?uuid=8a340701-69d0-47e5-8832-0958229800b1" ] } ], "mendeley" : { "formattedCitation" : "(Srigley and Haile 2015)", "plainTextFormattedCitation" : "(Srigley and Haile 2015)" }, "properties" : { "noteIndex" : 0 }, "schema" : "https://github.com/citation-style-language/schema/raw/master/csl-citation.json" }</w:instrText>
      </w:r>
      <w:r w:rsidR="00335CC0" w:rsidRPr="008906CB">
        <w:rPr>
          <w:lang w:val="en-GB"/>
        </w:rPr>
        <w:fldChar w:fldCharType="separate"/>
      </w:r>
      <w:r w:rsidR="00335CC0" w:rsidRPr="008906CB">
        <w:rPr>
          <w:lang w:val="en-GB"/>
        </w:rPr>
        <w:t>(Srigley and Haile 2015)</w:t>
      </w:r>
      <w:r w:rsidR="00335CC0" w:rsidRPr="008906CB">
        <w:rPr>
          <w:lang w:val="en-GB"/>
        </w:rPr>
        <w:fldChar w:fldCharType="end"/>
      </w:r>
      <w:r w:rsidRPr="008906CB">
        <w:rPr>
          <w:lang w:val="en-GB"/>
        </w:rPr>
        <w:t>. The US FDA also collaborated with the supplier of plant sterols, Cargill, on analytical methods (as reported in the Food Navigator article, 23 January 2017</w:t>
      </w:r>
      <w:r w:rsidR="00C71B99" w:rsidRPr="008906CB">
        <w:rPr>
          <w:lang w:val="en-GB"/>
        </w:rPr>
        <w:t xml:space="preserve">, </w:t>
      </w:r>
      <w:hyperlink r:id="rId20" w:history="1">
        <w:r w:rsidR="00C71B99" w:rsidRPr="008906CB">
          <w:rPr>
            <w:rStyle w:val="Hyperlink"/>
            <w:lang w:val="en-GB"/>
          </w:rPr>
          <w:t>http://www.foodnavigator-usa.com/content/view/print/1359869</w:t>
        </w:r>
      </w:hyperlink>
      <w:r w:rsidR="00687626" w:rsidRPr="008906CB">
        <w:rPr>
          <w:lang w:val="en-GB"/>
        </w:rPr>
        <w:t>)</w:t>
      </w:r>
      <w:r w:rsidR="006B1DBC" w:rsidRPr="008906CB">
        <w:rPr>
          <w:lang w:val="en-GB"/>
        </w:rPr>
        <w:t xml:space="preserve">. </w:t>
      </w:r>
      <w:r w:rsidRPr="008906CB">
        <w:rPr>
          <w:lang w:val="en-GB"/>
        </w:rPr>
        <w:t>This method is based on an earlier publication from Cargill (Clement et al 2010).</w:t>
      </w:r>
    </w:p>
    <w:p w14:paraId="781636D1" w14:textId="77777777" w:rsidR="0051780C" w:rsidRPr="00F935CA" w:rsidRDefault="0051780C" w:rsidP="00B14D36">
      <w:pPr>
        <w:pStyle w:val="Heading2"/>
      </w:pPr>
      <w:bookmarkStart w:id="103" w:name="_Toc463507631"/>
      <w:bookmarkStart w:id="104" w:name="_Toc463881772"/>
      <w:bookmarkStart w:id="105" w:name="_Toc464569626"/>
      <w:bookmarkStart w:id="106" w:name="_Toc466903380"/>
      <w:bookmarkStart w:id="107" w:name="_Toc466909045"/>
      <w:bookmarkStart w:id="108" w:name="_Toc466986161"/>
      <w:bookmarkStart w:id="109" w:name="_Toc466986214"/>
      <w:bookmarkStart w:id="110" w:name="_Toc467052880"/>
      <w:bookmarkStart w:id="111" w:name="_Toc467064032"/>
      <w:bookmarkStart w:id="112" w:name="_Toc467064479"/>
      <w:bookmarkStart w:id="113" w:name="_Toc467077486"/>
      <w:bookmarkStart w:id="114" w:name="_Toc477274206"/>
      <w:r w:rsidRPr="00F935CA">
        <w:t>2.4</w:t>
      </w:r>
      <w:r w:rsidRPr="00F935CA">
        <w:tab/>
        <w:t>Manufacturing processes for plant sterols</w:t>
      </w:r>
      <w:bookmarkEnd w:id="103"/>
      <w:bookmarkEnd w:id="104"/>
      <w:bookmarkEnd w:id="105"/>
      <w:bookmarkEnd w:id="106"/>
      <w:bookmarkEnd w:id="107"/>
      <w:bookmarkEnd w:id="108"/>
      <w:bookmarkEnd w:id="109"/>
      <w:bookmarkEnd w:id="110"/>
      <w:bookmarkEnd w:id="111"/>
      <w:bookmarkEnd w:id="112"/>
      <w:bookmarkEnd w:id="113"/>
      <w:bookmarkEnd w:id="114"/>
    </w:p>
    <w:p w14:paraId="01BE9BBC" w14:textId="77777777" w:rsidR="00B14D36" w:rsidRPr="00B14D36" w:rsidRDefault="00B14D36" w:rsidP="00B14D36">
      <w:pPr>
        <w:pStyle w:val="Heading3"/>
      </w:pPr>
      <w:bookmarkStart w:id="115" w:name="_Toc241399047"/>
      <w:bookmarkStart w:id="116" w:name="_Toc463507632"/>
      <w:bookmarkStart w:id="117" w:name="_Toc463881773"/>
      <w:bookmarkStart w:id="118" w:name="_Toc464569627"/>
      <w:bookmarkStart w:id="119" w:name="_Toc466903381"/>
      <w:bookmarkStart w:id="120" w:name="_Toc466909046"/>
      <w:bookmarkStart w:id="121" w:name="_Toc466986162"/>
      <w:bookmarkStart w:id="122" w:name="_Toc466986215"/>
      <w:bookmarkStart w:id="123" w:name="_Toc467052881"/>
      <w:bookmarkStart w:id="124" w:name="_Toc467064033"/>
      <w:bookmarkStart w:id="125" w:name="_Toc467064480"/>
      <w:bookmarkStart w:id="126" w:name="_Toc467077487"/>
      <w:bookmarkStart w:id="127" w:name="_Toc477274207"/>
      <w:r w:rsidRPr="00B14D36">
        <w:t>2.4.1</w:t>
      </w:r>
      <w:r w:rsidRPr="00B14D36">
        <w:tab/>
        <w:t>Production from vegetable oil</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776452C0" w14:textId="77777777" w:rsidR="00724D8F" w:rsidRDefault="0051780C" w:rsidP="0051780C">
      <w:pPr>
        <w:rPr>
          <w:rFonts w:cs="Arial"/>
          <w:lang w:val="en-GB"/>
        </w:rPr>
      </w:pPr>
      <w:r w:rsidRPr="00547FB5">
        <w:rPr>
          <w:rFonts w:cs="Arial"/>
          <w:lang w:val="en-GB"/>
        </w:rPr>
        <w:t xml:space="preserve">Commercially, plant sterols are isolated from vegetable oils, such as soybean oil, rapeseed (canola) oil, sunflower oil or corn oil. These vegetable oils normally undergo a series of refining steps to remove unwanted constituents and to improve their quality and shelf lives. </w:t>
      </w:r>
      <w:r w:rsidR="00724D8F">
        <w:rPr>
          <w:rFonts w:cs="Arial"/>
          <w:lang w:val="en-GB"/>
        </w:rPr>
        <w:br w:type="page"/>
      </w:r>
    </w:p>
    <w:p w14:paraId="0652C300" w14:textId="41F88DCA" w:rsidR="0051780C" w:rsidRPr="00547FB5" w:rsidRDefault="0051780C" w:rsidP="0051780C">
      <w:pPr>
        <w:rPr>
          <w:rFonts w:cs="Arial"/>
          <w:lang w:val="en-GB"/>
        </w:rPr>
      </w:pPr>
      <w:r w:rsidRPr="00547FB5">
        <w:rPr>
          <w:rFonts w:cs="Arial"/>
          <w:lang w:val="en-GB"/>
        </w:rPr>
        <w:lastRenderedPageBreak/>
        <w:t xml:space="preserve">The last step in the oil purification process is deodorisation which produces a distillate known as the ‘vegetable oil deodorised distillate (VOD)’ </w:t>
      </w:r>
      <w:r w:rsidRPr="00547FB5">
        <w:rPr>
          <w:rFonts w:cs="Arial"/>
          <w:lang w:val="en-GB"/>
        </w:rPr>
        <w:fldChar w:fldCharType="begin" w:fldLock="1"/>
      </w:r>
      <w:r w:rsidRPr="00547FB5">
        <w:rPr>
          <w:rFonts w:cs="Arial"/>
          <w:lang w:val="en-GB"/>
        </w:rPr>
        <w:instrText>ADDIN CSL_CITATION { "citationItems" : [ { "id" : "ITEM-1", "itemData" : { "DOI" : "10.2903/j.efsa.2007.486", "ISSN" : "18314732", "author" : [ { "dropping-particle" : "", "family" : "EFSA", "given" : "", "non-dropping-particle" : "", "parse-names" : false, "suffix" : "" } ], "container-title" : "EFSA Journal", "id" : "ITEM-1", "issue" : "6", "issued" : { "date-parts" : [ [ "2007", "6" ] ] }, "page" : "486", "title" : "Opinion of the Scientific Panel on Dietetic products, nutrition and allergies (NDA) related to a notification from Cognis, ADM and Cargill on vegetable oils-derived phytosterols and phytosterol esters from soybean sources pursuant to Article 6 paragraph 1", "type" : "article-journal", "volume" : "5" }, "uris" : [ "http://www.mendeley.com/documents/?uuid=c1b081c9-3520-4668-83b5-36857bf41f5a" ] } ], "mendeley" : { "formattedCitation" : "(EFSA 2007)", "plainTextFormattedCitation" : "(EFSA 2007)", "previouslyFormattedCitation" : "(EFSA 2007)"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(EFSA 2007)</w:t>
      </w:r>
      <w:r w:rsidRPr="00547FB5">
        <w:rPr>
          <w:rFonts w:cs="Arial"/>
          <w:lang w:val="en-GB"/>
        </w:rPr>
        <w:fldChar w:fldCharType="end"/>
      </w:r>
      <w:r w:rsidRPr="00547FB5">
        <w:rPr>
          <w:rFonts w:cs="Arial"/>
          <w:lang w:val="en-GB"/>
        </w:rPr>
        <w:t xml:space="preserve">. </w:t>
      </w:r>
    </w:p>
    <w:p w14:paraId="300F848F" w14:textId="77777777" w:rsidR="0051780C" w:rsidRPr="00547FB5" w:rsidRDefault="0051780C" w:rsidP="0051780C">
      <w:pPr>
        <w:rPr>
          <w:rFonts w:cs="Arial"/>
          <w:lang w:val="en-GB"/>
        </w:rPr>
      </w:pPr>
    </w:p>
    <w:p w14:paraId="5E5D2635" w14:textId="77777777" w:rsidR="0051780C" w:rsidRPr="00547FB5" w:rsidRDefault="0051780C" w:rsidP="0051780C">
      <w:pPr>
        <w:rPr>
          <w:rFonts w:cs="Arial"/>
          <w:lang w:val="en-GB"/>
        </w:rPr>
      </w:pPr>
      <w:r w:rsidRPr="00547FB5">
        <w:rPr>
          <w:rFonts w:cs="Arial"/>
          <w:lang w:val="en-GB"/>
        </w:rPr>
        <w:t>The VOD is the starting material for the extraction of plant sterols which are subjected to a series of distillation, filtration and crystallisation steps to remove unwanted by-products including fatty acids, di- and tri-glycerides, waxes, and fatty acid esters</w:t>
      </w:r>
      <w:r>
        <w:rPr>
          <w:rFonts w:cs="Arial"/>
          <w:lang w:val="en-GB"/>
        </w:rPr>
        <w:t xml:space="preserve">. </w:t>
      </w:r>
    </w:p>
    <w:p w14:paraId="368FAB4D" w14:textId="77777777" w:rsidR="0051780C" w:rsidRPr="00552334" w:rsidRDefault="0051780C" w:rsidP="00B14D36">
      <w:pPr>
        <w:pStyle w:val="Heading3"/>
      </w:pPr>
      <w:bookmarkStart w:id="128" w:name="_Toc241399048"/>
      <w:bookmarkStart w:id="129" w:name="_Toc463507633"/>
      <w:bookmarkStart w:id="130" w:name="_Toc463881774"/>
      <w:bookmarkStart w:id="131" w:name="_Toc464569628"/>
      <w:bookmarkStart w:id="132" w:name="_Toc466903382"/>
      <w:bookmarkStart w:id="133" w:name="_Toc466909047"/>
      <w:bookmarkStart w:id="134" w:name="_Toc466986163"/>
      <w:bookmarkStart w:id="135" w:name="_Toc466986216"/>
      <w:bookmarkStart w:id="136" w:name="_Toc467052882"/>
      <w:bookmarkStart w:id="137" w:name="_Toc467064034"/>
      <w:bookmarkStart w:id="138" w:name="_Toc467064481"/>
      <w:bookmarkStart w:id="139" w:name="_Toc467077488"/>
      <w:bookmarkStart w:id="140" w:name="_Toc477274208"/>
      <w:r w:rsidRPr="00552334">
        <w:t>2.4.2</w:t>
      </w:r>
      <w:r w:rsidRPr="00552334">
        <w:tab/>
        <w:t>Production from tall oil</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40AB7FF7" w14:textId="77777777" w:rsidR="0051780C" w:rsidRPr="00547FB5" w:rsidRDefault="0051780C" w:rsidP="0051780C">
      <w:pPr>
        <w:rPr>
          <w:rFonts w:cs="Arial"/>
          <w:lang w:val="en-GB" w:eastAsia="en-AU"/>
        </w:rPr>
      </w:pPr>
      <w:r w:rsidRPr="00547FB5">
        <w:rPr>
          <w:rFonts w:cs="Arial"/>
          <w:lang w:val="en-GB" w:eastAsia="en-AU"/>
        </w:rPr>
        <w:t>Plant sterols can also be isolated from a by-product of wood pulp from pine trees (</w:t>
      </w:r>
      <w:r w:rsidRPr="00547FB5">
        <w:rPr>
          <w:rFonts w:cs="Arial"/>
          <w:i/>
          <w:lang w:val="en-GB" w:eastAsia="en-AU"/>
        </w:rPr>
        <w:t>Pinus sp.</w:t>
      </w:r>
      <w:r w:rsidRPr="00547FB5">
        <w:rPr>
          <w:rFonts w:cs="Arial"/>
          <w:lang w:val="en-GB" w:eastAsia="en-AU"/>
        </w:rPr>
        <w:t xml:space="preserve">). Crude tall oil is a by-product of the wood pulping process. Plant sterols are concentrated in the residue after the crude tall oil is distilled into different fractions. The fraction called tall oil pitch contains up to 5-15% plant sterols </w:t>
      </w:r>
      <w:r w:rsidRPr="00547FB5">
        <w:rPr>
          <w:rFonts w:cs="Arial"/>
          <w:lang w:val="en-GB" w:eastAsia="en-AU"/>
        </w:rPr>
        <w:fldChar w:fldCharType="begin" w:fldLock="1"/>
      </w:r>
      <w:r w:rsidRPr="00547FB5">
        <w:rPr>
          <w:rFonts w:cs="Arial"/>
          <w:lang w:val="en-GB" w:eastAsia="en-AU"/>
        </w:rPr>
        <w:instrText>ADDIN CSL_CITATION { "citationItems" : [ { "id" : "ITEM-1", "itemData" : { "author" : [ { "dropping-particle" : "", "family" : "JECFA", "given" : "", "non-dropping-particle" : "", "parse-names" : false, "suffix" : "" } ], "id" : "ITEM-1", "issued" : { "date-parts" : [ [ "2008" ] ] }, "number-of-pages" : "Monograph 5", "publisher-place" : "Rome, Italy", "title" : "Combined Compendium of Food Additive Specifications", "type" : "report" }, "uris" : [ "http://www.mendeley.com/documents/?uuid=e7838d99-8db3-445d-a44d-ec018e873203" ] } ], "mendeley" : { "formattedCitation" : "(JECFA 2008)", "plainTextFormattedCitation" : "(JECFA 2008)", "previouslyFormattedCitation" : "(JECFA 2008)" }, "properties" : { "noteIndex" : 0 }, "schema" : "https://github.com/citation-style-language/schema/raw/master/csl-citation.json" }</w:instrText>
      </w:r>
      <w:r w:rsidRPr="00547FB5">
        <w:rPr>
          <w:rFonts w:cs="Arial"/>
          <w:lang w:val="en-GB" w:eastAsia="en-AU"/>
        </w:rPr>
        <w:fldChar w:fldCharType="separate"/>
      </w:r>
      <w:r w:rsidRPr="00547FB5">
        <w:rPr>
          <w:rFonts w:cs="Arial"/>
          <w:noProof/>
          <w:lang w:val="en-GB" w:eastAsia="en-AU"/>
        </w:rPr>
        <w:t>(JECFA 2008)</w:t>
      </w:r>
      <w:r w:rsidRPr="00547FB5">
        <w:rPr>
          <w:rFonts w:cs="Arial"/>
          <w:lang w:val="en-GB" w:eastAsia="en-AU"/>
        </w:rPr>
        <w:fldChar w:fldCharType="end"/>
      </w:r>
      <w:r w:rsidRPr="00547FB5">
        <w:rPr>
          <w:rFonts w:cs="Arial"/>
          <w:lang w:val="en-GB" w:eastAsia="en-AU"/>
        </w:rPr>
        <w:t>.</w:t>
      </w:r>
    </w:p>
    <w:p w14:paraId="0E58FC27" w14:textId="77777777" w:rsidR="0051780C" w:rsidRPr="00547FB5" w:rsidRDefault="0051780C" w:rsidP="0051780C">
      <w:pPr>
        <w:rPr>
          <w:rFonts w:cs="Arial"/>
          <w:lang w:val="en-GB" w:eastAsia="en-AU"/>
        </w:rPr>
      </w:pPr>
    </w:p>
    <w:p w14:paraId="06CE1A58" w14:textId="77777777" w:rsidR="0051780C" w:rsidRPr="00547FB5" w:rsidRDefault="0051780C" w:rsidP="0051780C">
      <w:pPr>
        <w:rPr>
          <w:rFonts w:cs="Arial"/>
          <w:lang w:val="en-GB" w:eastAsia="en-AU"/>
        </w:rPr>
      </w:pPr>
      <w:r w:rsidRPr="00547FB5">
        <w:rPr>
          <w:rFonts w:cs="Arial"/>
          <w:lang w:val="en-GB" w:eastAsia="en-AU"/>
        </w:rPr>
        <w:t>The tall oil pitch is saponified with caustic soda to cleave the plant sterol esters. The mixture is then neutralised with mineral acid and the aqueous phase removed. The plant sterol fraction is recovered by distillation of the residual pitch in a number of steps. Finally, the plant sterols are purified via solvent re-crystallisation (JECFA 2008).</w:t>
      </w:r>
    </w:p>
    <w:p w14:paraId="2BD561F6" w14:textId="77777777" w:rsidR="0051780C" w:rsidRPr="00552334" w:rsidRDefault="0051780C" w:rsidP="00B14D36">
      <w:pPr>
        <w:pStyle w:val="Heading3"/>
      </w:pPr>
      <w:bookmarkStart w:id="141" w:name="_Toc463507634"/>
      <w:bookmarkStart w:id="142" w:name="_Toc463881775"/>
      <w:bookmarkStart w:id="143" w:name="_Toc464569629"/>
      <w:bookmarkStart w:id="144" w:name="_Toc466903383"/>
      <w:bookmarkStart w:id="145" w:name="_Toc466909048"/>
      <w:bookmarkStart w:id="146" w:name="_Toc466986164"/>
      <w:bookmarkStart w:id="147" w:name="_Toc466986217"/>
      <w:bookmarkStart w:id="148" w:name="_Toc467052883"/>
      <w:bookmarkStart w:id="149" w:name="_Toc467064035"/>
      <w:bookmarkStart w:id="150" w:name="_Toc467064482"/>
      <w:bookmarkStart w:id="151" w:name="_Toc467077489"/>
      <w:bookmarkStart w:id="152" w:name="_Toc477274209"/>
      <w:r w:rsidRPr="00552334">
        <w:t>2.4.3</w:t>
      </w:r>
      <w:r w:rsidRPr="00552334">
        <w:tab/>
        <w:t>Product specification</w:t>
      </w:r>
      <w:bookmarkEnd w:id="141"/>
      <w:bookmarkEnd w:id="142"/>
      <w:bookmarkEnd w:id="143"/>
      <w:bookmarkEnd w:id="144"/>
      <w:bookmarkEnd w:id="145"/>
      <w:bookmarkEnd w:id="146"/>
      <w:bookmarkEnd w:id="147"/>
      <w:bookmarkEnd w:id="148"/>
      <w:bookmarkEnd w:id="149"/>
      <w:bookmarkEnd w:id="150"/>
      <w:bookmarkEnd w:id="151"/>
      <w:bookmarkEnd w:id="152"/>
      <w:r w:rsidRPr="00552334">
        <w:t xml:space="preserve"> </w:t>
      </w:r>
    </w:p>
    <w:p w14:paraId="341BD27D" w14:textId="44A3AAF1" w:rsidR="0051780C" w:rsidRPr="00547FB5" w:rsidRDefault="0051780C" w:rsidP="0051780C">
      <w:pPr>
        <w:rPr>
          <w:lang w:eastAsia="en-AU"/>
        </w:rPr>
      </w:pPr>
      <w:r w:rsidRPr="00547FB5">
        <w:rPr>
          <w:lang w:val="en-GB" w:eastAsia="en-AU"/>
        </w:rPr>
        <w:t>All plant sterols permitted in the Code to be added to food as listed in section S25—2, including those of this Application, need to comply with the specification in Schedule 3</w:t>
      </w:r>
      <w:r>
        <w:rPr>
          <w:lang w:val="en-GB" w:eastAsia="en-AU"/>
        </w:rPr>
        <w:t xml:space="preserve"> – </w:t>
      </w:r>
      <w:r w:rsidRPr="00547FB5">
        <w:rPr>
          <w:lang w:val="en-GB" w:eastAsia="en-AU"/>
        </w:rPr>
        <w:t xml:space="preserve">Identity and </w:t>
      </w:r>
      <w:r>
        <w:rPr>
          <w:lang w:val="en-GB" w:eastAsia="en-AU"/>
        </w:rPr>
        <w:t>p</w:t>
      </w:r>
      <w:r w:rsidRPr="00547FB5">
        <w:rPr>
          <w:lang w:val="en-GB" w:eastAsia="en-AU"/>
        </w:rPr>
        <w:t xml:space="preserve">urity. </w:t>
      </w:r>
    </w:p>
    <w:p w14:paraId="2A66E120" w14:textId="77777777" w:rsidR="0051780C" w:rsidRPr="00547FB5" w:rsidRDefault="0051780C" w:rsidP="0051780C">
      <w:pPr>
        <w:rPr>
          <w:lang w:eastAsia="en-AU"/>
        </w:rPr>
      </w:pPr>
    </w:p>
    <w:p w14:paraId="47D748B0" w14:textId="55E1B5DE" w:rsidR="0051780C" w:rsidRPr="00547FB5" w:rsidRDefault="0051780C" w:rsidP="0051780C">
      <w:pPr>
        <w:rPr>
          <w:lang w:val="en-GB" w:eastAsia="en-AU"/>
        </w:rPr>
      </w:pPr>
      <w:r w:rsidRPr="00547FB5">
        <w:rPr>
          <w:lang w:eastAsia="en-AU"/>
        </w:rPr>
        <w:t xml:space="preserve">As noted in section 2.1.1, </w:t>
      </w:r>
      <w:r>
        <w:rPr>
          <w:lang w:val="en-GB" w:eastAsia="en-AU"/>
        </w:rPr>
        <w:t xml:space="preserve">section </w:t>
      </w:r>
      <w:r w:rsidRPr="00547FB5">
        <w:rPr>
          <w:lang w:val="en-GB" w:eastAsia="en-AU"/>
        </w:rPr>
        <w:t xml:space="preserve">S3—24 </w:t>
      </w:r>
      <w:r>
        <w:rPr>
          <w:lang w:val="en-GB" w:eastAsia="en-AU"/>
        </w:rPr>
        <w:t xml:space="preserve">is the </w:t>
      </w:r>
      <w:r w:rsidRPr="00547FB5">
        <w:rPr>
          <w:lang w:val="en-GB" w:eastAsia="en-AU"/>
        </w:rPr>
        <w:t xml:space="preserve">specification for phytosterols, phytostanols and their esters. This specification requires compliance with either a primary source (section S3—2) or secondary source (section S3—3) of specifications, along with some additional requirements. The primary sources of specification do have specifications for plant sterols: JECFA (paragraph S3—2(1)(1)(b)) titled phytosterols, phytostanols and their esters and Food Chemical Codex (paragraph S3—2(1)(c)) titled vegetable oil phytosterol esters. </w:t>
      </w:r>
    </w:p>
    <w:p w14:paraId="290C6D64" w14:textId="77777777" w:rsidR="0051780C" w:rsidRPr="00552334" w:rsidRDefault="0051780C" w:rsidP="00B14D36">
      <w:pPr>
        <w:pStyle w:val="Heading3"/>
      </w:pPr>
      <w:bookmarkStart w:id="153" w:name="_Toc463507635"/>
      <w:bookmarkStart w:id="154" w:name="_Toc463881776"/>
      <w:bookmarkStart w:id="155" w:name="_Toc464569630"/>
      <w:bookmarkStart w:id="156" w:name="_Toc466903384"/>
      <w:bookmarkStart w:id="157" w:name="_Toc466909049"/>
      <w:bookmarkStart w:id="158" w:name="_Toc466986165"/>
      <w:bookmarkStart w:id="159" w:name="_Toc466986218"/>
      <w:bookmarkStart w:id="160" w:name="_Toc467052884"/>
      <w:bookmarkStart w:id="161" w:name="_Toc467064036"/>
      <w:bookmarkStart w:id="162" w:name="_Toc467064483"/>
      <w:bookmarkStart w:id="163" w:name="_Toc467077490"/>
      <w:bookmarkStart w:id="164" w:name="_Toc477274210"/>
      <w:r w:rsidRPr="00552334">
        <w:t>2.4.4</w:t>
      </w:r>
      <w:r w:rsidRPr="00552334">
        <w:tab/>
        <w:t>Product Stability</w:t>
      </w:r>
      <w:bookmarkEnd w:id="153"/>
      <w:bookmarkEnd w:id="154"/>
      <w:bookmarkEnd w:id="155"/>
      <w:bookmarkEnd w:id="156"/>
      <w:bookmarkEnd w:id="157"/>
      <w:bookmarkEnd w:id="158"/>
      <w:bookmarkEnd w:id="159"/>
      <w:bookmarkEnd w:id="160"/>
      <w:bookmarkEnd w:id="161"/>
      <w:bookmarkEnd w:id="162"/>
      <w:bookmarkEnd w:id="163"/>
      <w:bookmarkEnd w:id="164"/>
    </w:p>
    <w:p w14:paraId="5CCD6CEB" w14:textId="77777777" w:rsidR="0051780C" w:rsidRPr="00547FB5" w:rsidRDefault="0051780C" w:rsidP="0051780C">
      <w:pPr>
        <w:rPr>
          <w:rFonts w:cs="Arial"/>
          <w:lang w:val="en-GB"/>
        </w:rPr>
      </w:pPr>
      <w:r w:rsidRPr="00547FB5">
        <w:rPr>
          <w:rFonts w:cs="Arial"/>
          <w:lang w:val="en-GB"/>
        </w:rPr>
        <w:t xml:space="preserve">No specific references have been found addressing the stability of plant sterols incorporated into breakfast cereals. However, there are many references dealing with the stability of plant sterols in different foods </w:t>
      </w:r>
      <w:r w:rsidRPr="00547FB5">
        <w:rPr>
          <w:rFonts w:cs="Arial"/>
          <w:lang w:val="en-GB"/>
        </w:rPr>
        <w:fldChar w:fldCharType="begin" w:fldLock="1"/>
      </w:r>
      <w:r w:rsidRPr="00547FB5">
        <w:rPr>
          <w:rFonts w:cs="Arial"/>
          <w:lang w:val="en-GB"/>
        </w:rPr>
        <w:instrText>ADDIN CSL_CITATION { "citationItems" : [ { "id" : "ITEM-1", "itemData" : { "author" : [ { "dropping-particle" : "", "family" : "Yanishlieva-Maslarova", "given" : "NV", "non-dropping-particle" : "", "parse-names" : false, "suffix" : "" }, { "dropping-particle" : "", "family" : "Marinova", "given" : "EM", "non-dropping-particle" : "", "parse-names" : false, "suffix" : "" } ], "container-title" : "76th AOCS Annual Meeting", "id" : "ITEM-1", "issued" : { "date-parts" : [ [ "1985" ] ] }, "page" : "622", "publisher" : "Journal of the American Oil Chemists\u2019 Society", "publisher-place" : "Philadelphia, PA", "title" : "Autoxidation of sitosterol in lipid systems of different unsaturation degree", "type" : "paper-conference" }, "uris" : [ "http://www.mendeley.com/documents/?uuid=2365e195-613a-4621-8de0-1d4ca8746f0c" ] }, { "id" : "ITEM-2", "itemData" : { "DOI" : "10.1016/B978-1-893997-92-9.50013-X", "ISBN" : "9780128043530", "abstract" : "A review with 179 refs. which discusses the chem. of sterols, sterol oxidn., the appearance of sterols in frying fat and fried food, methods of anal. of oxysterols, and health implications fo cholesterol oxidized products", "author" : [ { "dropping-particle" : "", "family" : "Dutta", "given" : "Paresh C.", "non-dropping-particle" : "", "parse-names" : false, "suffix" : "" }, { "dropping-particle" : "", "family" : "Przybylski", "given" : "Roman", "non-dropping-particle" : "", "parse-names" : false, "suffix" : "" }, { "dropping-particle" : "", "family" : "Eskin", "given" : "Michael N A", "non-dropping-particle" : "", "parse-names" : false, "suffix" : "" }, { "dropping-particle" : "", "family" : "Appelqvist", "given" : "Lars \u00c5ke", "non-dropping-particle" : "", "parse-names" : false, "suffix" : "" } ], "container-title" : "Deep Frying: Chemistry, Nutrition, and Practical Applications: Second Edition", "id" : "ITEM-2", "issued" : { "date-parts" : [ [ "2007" ] ] }, "page" : "111-164", "title" : "Formation, Analysis, and Health Effects of Oxidized Sterols in Frying Fat", "type" : "chapter" }, "uris" : [ "http://www.mendeley.com/documents/?uuid=630c82af-c26b-494b-bca7-38d22e7016bf" ] }, { "id" : "ITEM-3", "itemData" : { "DOI" : "10.1021/jf970168c", "ISBN" : "0021-8561", "ISSN" : "0021-8561", "abstract" : "Effects of microwave energy and conventional heating on physical and chemical parameters of five edible oils and fats (virgin olive oil, olive oil, sunflower oil, high oleic sunflower oil, and lard) were investigated. These fats and oils were subjected to three well-controlled treatments: heating in conventional electric oven, heating by microwave energy, and exposure to microwave energy, respectively. The effect of microwave heating on the visible spectrum, K232 and K270, density, viscosity, and squalene and trans-isomer contents of fats and oils was worse than that produced by heating the same fats in a conventional oven at the same temperature, time, surface/volume ratio, and light conditions. Subjecting fats and oils to microwave energy under the same conditions, but below 40 \u00b0C, did not produce considerable variations in the same parameters when compared to the original ones.", "author" : [ { "dropping-particle" : "", "family" : "Albi", "given" : "T.", "non-dropping-particle" : "", "parse-names" : false, "suffix" : "" }, { "dropping-particle" : "", "family" : "Lanz\u00f3n", "given" : "A.", "non-dropping-particle" : "", "parse-names" : false, "suffix" : "" }, { "dropping-particle" : "", "family" : "Guinda", "given" : "A.", "non-dropping-particle" : "", "parse-names" : false, "suffix" : "" }, { "dropping-particle" : "", "family" : "P\u00e9rez-Camino", "given" : "M. C.", "non-dropping-particle" : "", "parse-names" : false, "suffix" : "" }, { "dropping-particle" : "", "family" : "Le\u00f3n", "given" : "M.", "non-dropping-particle" : "", "parse-names" : false, "suffix" : "" } ], "container-title" : "Journal of Agricultural and Food Chemistry", "id" : "ITEM-3", "issue" : "8", "issued" : { "date-parts" : [ [ "1997", "8" ] ] }, "page" : "3000-3003", "title" : "Microwave and Conventional Heating Effects on Some Physical and Chemical Parameters of Edible Fats", "type" : "article-journal", "volume" : "45" }, "uris" : [ "http://www.mendeley.com/documents/?uuid=8f0ef762-1633-4ef9-9d12-17e6c7c14521" ] }, { "id" : "ITEM-4", "itemData" : { "DOI" : "10.1002/(SICI)1097-0010(20000515)80:7&lt;939::AID-JSFA644&gt;3.0.CO;2-C", "ISBN" : "1097-0010", "ISSN" : "00225142", "PMID" : "1155", "abstract" : "Abstract: Plant sterols are an essential component of the membranes of all eukaryotic organisms. They are either synthesised de novo or taken up from the environment. Their function appears to be to control membrane \u00afuidity and permeability, although some plant sterols have a speci\u00aec function in signal transduction. The phytosterols are products of the isoprenoid pathway. The dedicated pathway to sterol synthesis in photosynthetic plants occurs at the squalene stage through the activity of squalene synthetase. Although the activity of 3-hydroxymethyl-3-glutaryl coenzyme A (HGMR) is rate-limiting in the synthesis of cholesterol, this does not appear to be the case with the plant sterols. Up-regulation of HGMR appears to increase the biosynthesis of cycloartenol but not the D5-sterols. A decline in sterol synthesis is associated with a suppression of squalene synthetase activity, which is probably a critical point in controlling carbon \u00afow and end-product formation. The major post-squalene biosynthetic pathway is regulated by critical rate-limiting steps such as the methylation of cycloartenol into cycloeucalenol. Little is known about the factors controlling the biosynthesis of the end-point sterol esters or stanols. The commonly consumed plant sterols are sitosterol, stigmasterol and campesterol which are predominantly supplied by vegetable oils. The oils are a rich source of the steryl esters. Less important sources of sterols are cereals, nuts and vegetables. The nutritional interest derives from the fact that the sterols have a similar structure to cholesterol, and have the capacity to lower plasma cholesterol and LDL cholesterol. Since the morbidity and mortality from cardiovascular disease have been dramatically reduced using cholesterol-lowering drugs (statins), the interest in plant sterols lies in their potential to act as a natural preventive dietary product. Stanols (saturated at C-5) occur in low amounts in the diet and are equally effective in lowering plasma cholesterol and do not cause an increase in plasma levels, unlike the sterols which can be detected in plasma.", "author" : [ { "dropping-particle" : "", "family" : "Piironen", "given" : "Vieno", "non-dropping-particle" : "", "parse-names" : false, "suffix" : "" }, { "dropping-particle" : "", "family" : "Lindsay", "given" : "David G.", "non-dropping-particle" : "", "parse-names" : false, "suffix" : "" }, { "dropping-particle" : "", "family" : "Miettinen", "given" : "Tatu A.", "non-dropping-particle" : "", "parse-names" : false, "suffix" : "" }, { "dropping-particle" : "", "family" : "Toivo", "given" : "Jari", "non-dropping-particle" : "", "parse-names" : false, "suffix" : "" }, { "dropping-particle" : "", "family" : "Lampi", "given" : "Anna Maija", "non-dropping-particle" : "", "parse-names" : false, "suffix" : "" } ], "container-title" : "Journal of the Science of Food and Agriculture", "id" : "ITEM-4", "issue" : "7", "issued" : { "date-parts" : [ [ "2000" ] ] }, "page" : "939-966", "title" : "Plant sterols: Biosynthesis, biological function and their importance to human nutrition", "type" : "article", "volume" : "80" }, "uris" : [ "http://www.mendeley.com/documents/?uuid=1aecca8b-826b-403d-aa3a-53afdb7fb527" ] }, { "id" : "ITEM-5", "itemData" : { "DOI" : "10.1016/j.foodchem.2005.05.037", "ISBN" : "0308-8146", "ISSN" : "03088146", "abstract" : "An increased intake of phytosterols (PS), as well as new products launched on the market enriched with PS and phytostanols, increases the demands for improved analytical techniques. In the present study, a method for the determination of phytosterol oxidation products (POP) was evaluated and optimized. The method included transesterification, enrichment with amino SPE cartridges and quantification by GC. The methodology was evaluated with authentic samples of sito-, campe- and stigma-sterol oxidation products and the linearity and recovery for some POP were &gt;0.95 and 80-120%, respectively. The lowest spiking level determined was 0.5 \u03bcg and lower levels could be quantified. In addition, the formation of POP during thermal oxidation of vegetable oils at 180\u00b0C for 0-2 h was studied and increased levels were observed. A commercially available PS ester-enriched margarine was also included in the investigation and the level of POP was 12 \u03bcg/g of spread. \u00a9 2005 Elsevier Ltd. All rights reserved.", "author" : [ { "dropping-particle" : "", "family" : "Johnsson", "given" : "Lars", "non-dropping-particle" : "", "parse-names" : false, "suffix" : "" }, { "dropping-particle" : "", "family" : "Dutta", "given" : "Paresh C.", "non-dropping-particle" : "", "parse-names" : false, "suffix" : "" } ], "container-title" : "Food Chemistry", "id" : "ITEM-5", "issue" : "4", "issued" : { "date-parts" : [ [ "2006", "8" ] ] }, "page" : "606-613", "title" : "Determination of phytosterol oxides in some food products by using an optimized transesterification method", "type" : "article-journal", "volume" : "97" }, "uris" : [ "http://www.mendeley.com/documents/?uuid=6107354e-06fe-4a8f-8163-ac0329deb587" ] }, { "id" : "ITEM-6", "itemData" : { "author" : [ { "dropping-particle" : "", "family" : "JECFA", "given" : "", "non-dropping-particle" : "", "parse-names" : false, "suffix" : "" } ], "id" : "ITEM-6", "issued" : { "date-parts" : [ [ "2008" ] ] }, "number-of-pages" : "Monograph 5", "publisher-place" : "Rome, Italy", "title" : "Combined Compendium of Food Additive Specifications", "type" : "report" }, "uris" : [ "http://www.mendeley.com/documents/?uuid=e7838d99-8db3-445d-a44d-ec018e873203" ] }, { "id" : "ITEM-7", "itemData" : { "author" : [ { "dropping-particle" : "", "family" : "DFG", "given" : "", "non-dropping-particle" : "", "parse-names" : false, "suffix" : "" } ], "id" : "ITEM-7", "issued" : { "date-parts" : [ [ "2014" ] ] }, "number-of-pages" : "34", "publisher" : "DFG Senate Commission on Food Safety", "publisher-place" : "Bonn, Germany", "title" : "Phytosterol oxidation products in foods: Analysis, occurrence, exposure and biological effects", "type" : "report" }, "uris" : [ "http://www.mendeley.com/documents/?uuid=b350abe9-82aa-4073-b34c-f577bd136b64" ] } ], "mendeley" : { "formattedCitation" : "(Yanishlieva-Maslarova and Marinova 1985; Albi et al. 1997; Piironen et al. 2000; Johnsson and Dutta 2006; Dutta et al. 2007; JECFA 2008; DFG 2014)", "plainTextFormattedCitation" : "(Yanishlieva-Maslarova and Marinova 1985; Albi et al. 1997; Piironen et al. 2000; Johnsson and Dutta 2006; Dutta et al. 2007; JECFA 2008; DFG 2014)", "previouslyFormattedCitation" : "(Yanishlieva-Maslarova and Marinova 1985; Albi et al. 1997; Piironen et al. 2000; Johnsson and Dutta 2006; Dutta et al. 2007; JECFA 2008; DFG 2014)"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(Yanishlieva-Maslarova and Marinova 1985; Albi et al. 1997; Piironen et al. 2000; Johnsson and Dutta 2006; Dutta et al. 2007; JECFA 2008; DFG 2014)</w:t>
      </w:r>
      <w:r w:rsidRPr="00547FB5">
        <w:rPr>
          <w:rFonts w:cs="Arial"/>
          <w:lang w:val="en-GB"/>
        </w:rPr>
        <w:fldChar w:fldCharType="end"/>
      </w:r>
      <w:r w:rsidRPr="00547FB5">
        <w:rPr>
          <w:rFonts w:cs="Arial"/>
          <w:lang w:val="en-GB"/>
        </w:rPr>
        <w:t xml:space="preserve">. </w:t>
      </w:r>
      <w:r w:rsidRPr="00547FB5">
        <w:rPr>
          <w:rFonts w:cs="Arial"/>
          <w:lang w:val="en-GB" w:eastAsia="en-AU"/>
        </w:rPr>
        <w:t xml:space="preserve">Plant sterol degradation due to oxidation depends on temperature, heating time, heating method, as well as the composition of the food matrix. </w:t>
      </w:r>
      <w:r w:rsidRPr="00547FB5">
        <w:rPr>
          <w:rFonts w:cs="Arial"/>
          <w:lang w:val="en-GB"/>
        </w:rPr>
        <w:t xml:space="preserve">Plant sterols are generally very stable compounds and undergo very limited damage during food-processing </w:t>
      </w:r>
      <w:r w:rsidRPr="00547FB5">
        <w:rPr>
          <w:rFonts w:cs="Arial"/>
          <w:lang w:val="en-GB"/>
        </w:rPr>
        <w:fldChar w:fldCharType="begin" w:fldLock="1"/>
      </w:r>
      <w:r w:rsidRPr="00547FB5">
        <w:rPr>
          <w:rFonts w:cs="Arial"/>
          <w:lang w:val="en-GB"/>
        </w:rPr>
        <w:instrText>ADDIN CSL_CITATION { "citationItems" : [ { "id" : "ITEM-1", "itemData" : { "DOI" : "10.1021/jf970525j", "ISSN" : "0021-8561", "abstract" : "Steryl esters of fatty acids have been isolated from vegetable oils by rapid chromatog. on a short column of silica gel and quant. detd. by HPLC on RP-18 columns using an evaporative light scattering detector that was calibrated with .beta.-sitosteryl oleate as external std. The steryl esters isolated according to the above technique from corn, soybean, and rapeseed oils at different stages of industrial refining have been analyzed for their constituent sterols and fatty acids by GC. Moreover, the total sterols were analyzed by GC. In all 3 oils, a substantial part of the sterols occurred as steryl esters. Some alterations in the compn. of the constituent sterols and fatty acids of the steryl esters were obsd. during industrial processing", "author" : [ { "dropping-particle" : "", "family" : "Ferrari", "given" : "Roseli Ap.", "non-dropping-particle" : "", "parse-names" : false, "suffix" : "" }, { "dropping-particle" : "", "family" : "Esteves", "given" : "Walter", "non-dropping-particle" : "", "parse-names" : false, "suffix" : "" }, { "dropping-particle" : "", "family" : "Mukherjee", "given" : "Kumar D", "non-dropping-particle" : "", "parse-names" : false, "suffix" : "" }, { "dropping-particle" : "", "family" : "Schulte", "given" : "Erhard", "non-dropping-particle" : "", "parse-names" : false, "suffix" : "" } ], "container-title" : "Journal of Agricultural and Food Chemistry", "id" : "ITEM-1", "issue" : "12", "issued" : { "date-parts" : [ [ "1997", "12" ] ] }, "page" : "4753-4757", "title" : "Alteration of Sterols and Steryl Esters in Vegetable Oils during Industrial Refining", "type" : "article-journal", "volume" : "45" }, "uris" : [ "http://www.mendeley.com/documents/?uuid=15dfae82-e8b0-484d-ac5c-59cfdcb9b850" ] }, { "id" : "ITEM-2", "itemData" : { "author" : [ { "dropping-particle" : "", "family" : "JECFA", "given" : "", "non-dropping-particle" : "", "parse-names" : false, "suffix" : "" } ], "id" : "ITEM-2", "issued" : { "date-parts" : [ [ "2008" ] ] }, "number-of-pages" : "Monograph 5", "publisher-place" : "Rome, Italy", "title" : "Combined Compendium of Food Additive Specifications", "type" : "report" }, "uris" : [ "http://www.mendeley.com/documents/?uuid=e7838d99-8db3-445d-a44d-ec018e873203" ] } ], "mendeley" : { "formattedCitation" : "(Ferrari et al. 1997; JECFA 2008)", "plainTextFormattedCitation" : "(Ferrari et al. 1997; JECFA 2008)", "previouslyFormattedCitation" : "(Ferrari et al. 1997; JECFA 2008)"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(Ferrari et al. 1997; JECFA 2008)</w:t>
      </w:r>
      <w:r w:rsidRPr="00547FB5">
        <w:rPr>
          <w:rFonts w:cs="Arial"/>
          <w:lang w:val="en-GB"/>
        </w:rPr>
        <w:fldChar w:fldCharType="end"/>
      </w:r>
      <w:r w:rsidRPr="00547FB5">
        <w:rPr>
          <w:rFonts w:cs="Arial"/>
          <w:lang w:val="en-GB"/>
        </w:rPr>
        <w:t>.</w:t>
      </w:r>
    </w:p>
    <w:p w14:paraId="4FD85A2C" w14:textId="77777777" w:rsidR="0051780C" w:rsidRPr="00547FB5" w:rsidRDefault="0051780C" w:rsidP="0051780C">
      <w:pPr>
        <w:rPr>
          <w:rFonts w:cs="Arial"/>
          <w:lang w:val="en-GB"/>
        </w:rPr>
      </w:pPr>
    </w:p>
    <w:p w14:paraId="3A082BEB" w14:textId="77777777" w:rsidR="0051780C" w:rsidRPr="00547FB5" w:rsidRDefault="0051780C" w:rsidP="0051780C">
      <w:pPr>
        <w:rPr>
          <w:rFonts w:cs="Arial"/>
          <w:lang w:val="en-GB"/>
        </w:rPr>
      </w:pPr>
      <w:r w:rsidRPr="00547FB5">
        <w:rPr>
          <w:rFonts w:cs="Arial"/>
          <w:lang w:val="en-GB"/>
        </w:rPr>
        <w:t>Under specific conditions, such as high temperatures (&gt;100</w:t>
      </w:r>
      <w:r w:rsidRPr="00547FB5">
        <w:rPr>
          <w:rFonts w:cs="Arial"/>
          <w:lang w:val="en-GB"/>
        </w:rPr>
        <w:sym w:font="Symbol" w:char="00B0"/>
      </w:r>
      <w:r w:rsidRPr="00547FB5">
        <w:rPr>
          <w:rFonts w:cs="Arial"/>
          <w:lang w:val="en-GB"/>
        </w:rPr>
        <w:t xml:space="preserve">C) and in the presence of air, some plant sterols can oxidise in the same way as cholesterol (Yanishlieva-Maslrova and Marinova 1985). </w:t>
      </w:r>
      <w:r w:rsidRPr="00547FB5">
        <w:rPr>
          <w:rFonts w:cs="Arial"/>
          <w:lang w:val="en-GB" w:eastAsia="en-AU"/>
        </w:rPr>
        <w:t>Based on the stability of the plant sterols during food processing conditions, no significant changes in total sterol contents are likely to take place in most practical situations (Piironen 2000), which is expected to include incorporating into breakfast cereals. However, after prolonged storage, some limited oxidation products may be formed.</w:t>
      </w:r>
    </w:p>
    <w:p w14:paraId="6689995B" w14:textId="77777777" w:rsidR="0051780C" w:rsidRPr="00547FB5" w:rsidRDefault="0051780C" w:rsidP="0051780C">
      <w:pPr>
        <w:rPr>
          <w:rFonts w:cs="Arial"/>
          <w:lang w:val="en-GB"/>
        </w:rPr>
      </w:pPr>
    </w:p>
    <w:p w14:paraId="63ECB9CF" w14:textId="77777777" w:rsidR="00724D8F" w:rsidRDefault="0051780C" w:rsidP="0051780C">
      <w:pPr>
        <w:rPr>
          <w:rFonts w:cs="Arial"/>
          <w:lang w:val="en-GB" w:eastAsia="en-AU"/>
        </w:rPr>
      </w:pPr>
      <w:r w:rsidRPr="00547FB5">
        <w:rPr>
          <w:rFonts w:cs="Arial"/>
          <w:lang w:val="en-GB" w:eastAsia="en-AU"/>
        </w:rPr>
        <w:t xml:space="preserve">Because some consumers may use microwave ovens to heat either the liquid added to the cereal or the cereal with liquid before consumption, an investigation into the use of microwaves on the stability of plant sterols was undertaken. No information was located in the literature on the impact of microwave heating on plant sterols in breakfast cereals themselves. </w:t>
      </w:r>
      <w:r w:rsidR="00724D8F">
        <w:rPr>
          <w:rFonts w:cs="Arial"/>
          <w:lang w:val="en-GB" w:eastAsia="en-AU"/>
        </w:rPr>
        <w:br w:type="page"/>
      </w:r>
    </w:p>
    <w:p w14:paraId="47CD20BC" w14:textId="7EC8442F" w:rsidR="0051780C" w:rsidRPr="00547FB5" w:rsidRDefault="0051780C" w:rsidP="0051780C">
      <w:pPr>
        <w:rPr>
          <w:rFonts w:cs="Arial"/>
          <w:lang w:val="en-GB" w:eastAsia="en-AU"/>
        </w:rPr>
      </w:pPr>
      <w:r w:rsidRPr="00547FB5">
        <w:rPr>
          <w:rFonts w:cs="Arial"/>
          <w:lang w:val="en-GB" w:eastAsia="en-AU"/>
        </w:rPr>
        <w:lastRenderedPageBreak/>
        <w:t xml:space="preserve">But some limited information was available on the stability of plant sterols themselves or when added to milk after being heated using a microwave oven </w:t>
      </w:r>
      <w:r w:rsidRPr="00547FB5">
        <w:rPr>
          <w:rFonts w:cs="Arial"/>
          <w:lang w:val="en-GB" w:eastAsia="en-AU"/>
        </w:rPr>
        <w:fldChar w:fldCharType="begin" w:fldLock="1"/>
      </w:r>
      <w:r w:rsidRPr="00547FB5">
        <w:rPr>
          <w:rFonts w:cs="Arial"/>
          <w:lang w:val="en-GB" w:eastAsia="en-AU"/>
        </w:rPr>
        <w:instrText>ADDIN CSL_CITATION { "citationItems" : [ { "id" : "ITEM-1", "itemData" : { "DOI" : "10.1021/jf802000m", "ISSN" : "0021-8561", "PMID" : "18928298", "abstract" : "Commercially available phytosterol-enriched milk was subjected to usual and drastic heating conditions to evaluate the stability of the sterols at different treatments. Products showed 422.2 mg of phytosterols/100 g of milk and 132 microg of sterol oxidation products (SOPs)/g of fat (277 microg of SOPs/100 g of milk). Schaal oven conditions (24 h/65 degrees C, equivalent to 1 month of storage at room temperature) reduced the phytosterol content by only 4%. Drastic heating treatments (2 min of microwave heating at 900 W or 15 min of electrical heating at 90 degrees C) led to a 60% decrease of total phytosterol content, with a significant increase of TBARs. The oxysterol amount under those conditions (which was higher in microwave-treated samples) was lower than expected, probably because of the degradation of the oxidation products. Usual heating conditions (1.5 min of microwaves) maintained phytosterol content on physiologically active values (301 mg/100 g of milk) with oxidation percentages around 0.12-0.40% for phytosterols and 1.13% for cholesterol.", "author" : [ { "dropping-particle" : "", "family" : "Mene\u0301ndez-Carren\u0303o", "given" : "Mari\u0301a", "non-dropping-particle" : "", "parse-names" : false, "suffix" : "" }, { "dropping-particle" : "", "family" : "Ansorena", "given" : "Diana", "non-dropping-particle" : "", "parse-names" : false, "suffix" : "" }, { "dropping-particle" : "", "family" : "Astiasara\u0301n", "given" : "Iciar", "non-dropping-particle" : "", "parse-names" : false, "suffix" : "" } ], "container-title" : "Journal of Agricultural and Food Chemistry", "id" : "ITEM-1", "issue" : "21", "issued" : { "date-parts" : [ [ "2008", "11", "12" ] ] }, "page" : "9997-10002", "title" : "Stability of Sterols in Phytosterol-Enriched Milk under Different Heating Conditions", "type" : "article-journal", "volume" : "56" }, "uris" : [ "http://www.mendeley.com/documents/?uuid=c1af6198-bc7c-4ae5-9b8b-f31f2ebe00b5" ] }, { "id" : "ITEM-2", "itemData" : { "DOI" : "10.1021/acs.jafc.5b00961", "ISSN" : "0021-8561", "PMID" : "25973984", "abstract" : "The oxidative stability of phytosterols during microwave heating was evaluated. Two different model systems (a solid film made with a phytosterol mixture (PSF) and a liquid mixture of phytosterols and triolein (1:100, PS + TAG (triacylglycerol))) were heated for 1.5, 3, 6, 12, 20, and 30 min at 1000 W. PS degraded faster when they were microwaved alone than in the presence of TAG, following a first-order kinetic model. Up to 6 min, no phytosterol oxidation products (POPs) were generated in both systems. At 12 min of heating, the POP content reached a higher level in PSF (90.96 \u03bcg/mg of phytosterols) than in PS + TAG (22.66 \u03bcg/mg of phytosterols), but after 30 min of treatment, the opposite trend was observed. 7-Keto derivates were the most abundant POPs in both systems. The extent of phytosterol degradation depends on both the heating time and the surrounding medium, which can impact the quality and safety of the food product destined to microwave heating/cooking.", "author" : [ { "dropping-particle" : "", "family" : "Leal-Casta\u00f1eda", "given" : "Everth Jimena", "non-dropping-particle" : "", "parse-names" : false, "suffix" : "" }, { "dropping-particle" : "", "family" : "Inchingolo", "given" : "Raffaella", "non-dropping-particle" : "", "parse-names" : false, "suffix" : "" }, { "dropping-particle" : "", "family" : "Cardenia", "given" : "Vladimiro", "non-dropping-particle" : "", "parse-names" : false, "suffix" : "" }, { "dropping-particle" : "", "family" : "Hernandez-Becerra", "given" : "Josafat Alberto", "non-dropping-particle" : "", "parse-names" : false, "suffix" : "" }, { "dropping-particle" : "", "family" : "Romani", "given" : "Santina", "non-dropping-particle" : "", "parse-names" : false, "suffix" : "" }, { "dropping-particle" : "", "family" : "Rodriguez-Estrada", "given" : "Mar\u00eda Teresa", "non-dropping-particle" : "", "parse-names" : false, "suffix" : "" }, { "dropping-particle" : "", "family" : "Galindo", "given" : "Hugo Sergio Garc\u00eda", "non-dropping-particle" : "", "parse-names" : false, "suffix" : "" } ], "container-title" : "Journal of Agricultural and Food Chemistry", "id" : "ITEM-2", "issue" : "22", "issued" : { "date-parts" : [ [ "2015", "6", "10" ] ] }, "page" : "5539-5547", "title" : "Effect of Microwave Heating on Phytosterol Oxidation", "type" : "article-journal", "volume" : "63" }, "uris" : [ "http://www.mendeley.com/documents/?uuid=dad6d5a7-966b-4621-a477-d6f925dfdde5" ] } ], "mendeley" : { "formattedCitation" : "(Mene\u0301ndez-Carren\u0303o et al. 2008; Leal-Casta\u00f1eda et al. 2015)", "plainTextFormattedCitation" : "(Mene\u0301ndez-Carren\u0303o et al. 2008; Leal-Casta\u00f1eda et al. 2015)", "previouslyFormattedCitation" : "(Mene\u0301ndez-Carren\u0303o et al. 2008; Leal-Casta\u00f1eda et al. 2015)" }, "properties" : { "noteIndex" : 0 }, "schema" : "https://github.com/citation-style-language/schema/raw/master/csl-citation.json" }</w:instrText>
      </w:r>
      <w:r w:rsidRPr="00547FB5">
        <w:rPr>
          <w:rFonts w:cs="Arial"/>
          <w:lang w:val="en-GB" w:eastAsia="en-AU"/>
        </w:rPr>
        <w:fldChar w:fldCharType="separate"/>
      </w:r>
      <w:r w:rsidRPr="00547FB5">
        <w:rPr>
          <w:rFonts w:cs="Arial"/>
          <w:noProof/>
          <w:lang w:val="en-GB" w:eastAsia="en-AU"/>
        </w:rPr>
        <w:t>(Menéndez-Carreño et al. 2008; Leal-Castañeda et al. 2015)</w:t>
      </w:r>
      <w:r w:rsidRPr="00547FB5">
        <w:rPr>
          <w:rFonts w:cs="Arial"/>
          <w:lang w:val="en-GB" w:eastAsia="en-AU"/>
        </w:rPr>
        <w:fldChar w:fldCharType="end"/>
      </w:r>
      <w:r w:rsidRPr="00547FB5">
        <w:rPr>
          <w:rFonts w:cs="Arial"/>
          <w:lang w:val="en-GB" w:eastAsia="en-AU"/>
        </w:rPr>
        <w:t>.</w:t>
      </w:r>
    </w:p>
    <w:p w14:paraId="236D9C9F" w14:textId="77777777" w:rsidR="0051780C" w:rsidRPr="00547FB5" w:rsidRDefault="0051780C" w:rsidP="0051780C">
      <w:pPr>
        <w:rPr>
          <w:rFonts w:cs="Arial"/>
          <w:lang w:val="en-GB" w:eastAsia="en-AU"/>
        </w:rPr>
      </w:pPr>
    </w:p>
    <w:p w14:paraId="3F1E4ED0" w14:textId="77777777" w:rsidR="0051780C" w:rsidRPr="00547FB5" w:rsidRDefault="0051780C" w:rsidP="0051780C">
      <w:pPr>
        <w:rPr>
          <w:rFonts w:cs="Arial"/>
          <w:strike/>
          <w:lang w:val="en-GB" w:eastAsia="en-AU"/>
        </w:rPr>
      </w:pPr>
      <w:r w:rsidRPr="00547FB5">
        <w:rPr>
          <w:rFonts w:cs="Arial"/>
          <w:lang w:val="en-GB" w:eastAsia="en-AU"/>
        </w:rPr>
        <w:t xml:space="preserve">In summary, plant sterols added to different food matrices are stable to heating, including the usual short microwave heating time consumers use when preparing breakfast cereals for consumption straight after heating. </w:t>
      </w:r>
    </w:p>
    <w:p w14:paraId="08C24D3E" w14:textId="77777777" w:rsidR="0051780C" w:rsidRPr="00F935CA" w:rsidRDefault="0051780C" w:rsidP="00B14D36">
      <w:pPr>
        <w:pStyle w:val="Heading2"/>
      </w:pPr>
      <w:bookmarkStart w:id="165" w:name="_Toc463507636"/>
      <w:bookmarkStart w:id="166" w:name="_Toc463881777"/>
      <w:bookmarkStart w:id="167" w:name="_Toc464569631"/>
      <w:bookmarkStart w:id="168" w:name="_Toc466903385"/>
      <w:bookmarkStart w:id="169" w:name="_Toc466909050"/>
      <w:bookmarkStart w:id="170" w:name="_Toc466986166"/>
      <w:bookmarkStart w:id="171" w:name="_Toc466986219"/>
      <w:bookmarkStart w:id="172" w:name="_Toc467052885"/>
      <w:bookmarkStart w:id="173" w:name="_Toc467064037"/>
      <w:bookmarkStart w:id="174" w:name="_Toc467064484"/>
      <w:bookmarkStart w:id="175" w:name="_Toc467077491"/>
      <w:bookmarkStart w:id="176" w:name="_Toc477274211"/>
      <w:r w:rsidRPr="00F935CA">
        <w:t>2.5</w:t>
      </w:r>
      <w:r w:rsidRPr="00F935CA">
        <w:tab/>
        <w:t>Incorporating plant sterols into breakfast cereals</w:t>
      </w:r>
      <w:bookmarkEnd w:id="165"/>
      <w:bookmarkEnd w:id="166"/>
      <w:bookmarkEnd w:id="167"/>
      <w:bookmarkEnd w:id="168"/>
      <w:bookmarkEnd w:id="169"/>
      <w:bookmarkEnd w:id="170"/>
      <w:bookmarkEnd w:id="171"/>
      <w:bookmarkEnd w:id="172"/>
      <w:bookmarkEnd w:id="173"/>
      <w:bookmarkEnd w:id="174"/>
      <w:bookmarkEnd w:id="175"/>
      <w:bookmarkEnd w:id="176"/>
    </w:p>
    <w:p w14:paraId="211A0889" w14:textId="77777777" w:rsidR="0051780C" w:rsidRPr="00547FB5" w:rsidRDefault="0051780C" w:rsidP="0051780C">
      <w:pPr>
        <w:rPr>
          <w:rFonts w:cs="Arial"/>
          <w:lang w:val="en-GB"/>
        </w:rPr>
      </w:pPr>
      <w:r w:rsidRPr="00547FB5">
        <w:rPr>
          <w:rFonts w:cs="Arial"/>
          <w:lang w:val="en-GB"/>
        </w:rPr>
        <w:t xml:space="preserve">The suitability of adding plant sterols into different food types will depend on their physical properties as well as the properties of the food matrix, which for this Application are breakfast cereals. Plant sterols need to be fully and uniformly distributed throughout the food matrix and not cause any appearance, odour or flavour defects in the final product. It is also important that plant sterols are stably incorporated into the food and does not degrade during processing or during the shelf life of the product. </w:t>
      </w:r>
    </w:p>
    <w:p w14:paraId="7EC62E68" w14:textId="77777777" w:rsidR="0051780C" w:rsidRPr="00547FB5" w:rsidRDefault="0051780C" w:rsidP="0051780C">
      <w:pPr>
        <w:rPr>
          <w:rFonts w:cs="Arial"/>
          <w:lang w:val="en-GB"/>
        </w:rPr>
      </w:pPr>
    </w:p>
    <w:p w14:paraId="13EF464B" w14:textId="77777777" w:rsidR="0051780C" w:rsidRPr="00547FB5" w:rsidRDefault="0051780C" w:rsidP="0051780C">
      <w:pPr>
        <w:rPr>
          <w:lang w:val="en-GB"/>
        </w:rPr>
      </w:pPr>
      <w:r w:rsidRPr="00547FB5">
        <w:rPr>
          <w:rFonts w:cs="Arial"/>
          <w:lang w:val="en-GB"/>
        </w:rPr>
        <w:t>Plant sterols have high melting points that range between 138</w:t>
      </w:r>
      <w:r w:rsidRPr="00547FB5">
        <w:rPr>
          <w:rFonts w:cs="Arial"/>
          <w:lang w:val="en-GB"/>
        </w:rPr>
        <w:noBreakHyphen/>
        <w:t>158</w:t>
      </w:r>
      <w:r w:rsidRPr="00547FB5">
        <w:rPr>
          <w:rFonts w:cs="Arial"/>
          <w:lang w:val="en-GB"/>
        </w:rPr>
        <w:sym w:font="Symbol" w:char="00B0"/>
      </w:r>
      <w:r w:rsidRPr="00547FB5">
        <w:rPr>
          <w:rFonts w:cs="Arial"/>
          <w:lang w:val="en-GB"/>
        </w:rPr>
        <w:t>C and they exist as solid crystalline structures at room temperatures. To more easily incorporate plant sterols into solid food</w:t>
      </w:r>
      <w:r>
        <w:rPr>
          <w:rFonts w:cs="Arial"/>
          <w:lang w:val="en-GB"/>
        </w:rPr>
        <w:t>,</w:t>
      </w:r>
      <w:r w:rsidRPr="00547FB5">
        <w:rPr>
          <w:rFonts w:cs="Arial"/>
          <w:lang w:val="en-GB"/>
        </w:rPr>
        <w:t xml:space="preserve"> they are often esterified (see Section 2.2) to increase their solubility in fats and oils. </w:t>
      </w:r>
      <w:r w:rsidRPr="00547FB5">
        <w:rPr>
          <w:lang w:val="en-GB"/>
        </w:rPr>
        <w:t xml:space="preserve">The </w:t>
      </w:r>
      <w:r w:rsidRPr="00547FB5">
        <w:rPr>
          <w:rFonts w:cs="Arial"/>
          <w:lang w:val="en-GB"/>
        </w:rPr>
        <w:t xml:space="preserve">solubility of plant sterol esters is 10 to 20 times higher in fats and oils than their non-esterified counterparts </w:t>
      </w:r>
      <w:r w:rsidRPr="00547FB5">
        <w:rPr>
          <w:rFonts w:cs="Arial"/>
          <w:lang w:val="en-GB"/>
        </w:rPr>
        <w:fldChar w:fldCharType="begin" w:fldLock="1"/>
      </w:r>
      <w:r w:rsidRPr="00547FB5">
        <w:rPr>
          <w:rFonts w:cs="Arial"/>
          <w:lang w:val="en-GB"/>
        </w:rPr>
        <w:instrText>ADDIN CSL_CITATION { "citationItems" : [ { "id" : "ITEM-1", "itemData" : { "DOI" : "10.1016/j.ifset.2005.01.004", "ISSN" : "14668564", "abstract" : "Phytosterols can significantly reduce cholesterol levels in humans. However, their dose response is strongly formulation dependent. Due to their insolubility in water and poor solubility in oil and their surface activity, the formulation in functional foods of unesterified non-crystalline phytosterols with an expected dose response even higher than the esterified phytosterols commonly applied today proved problematic. Supersaturating phytosterols with a crystallization inhibitor in the oil phase of an o/w emulsion in a special process combines high phytosterol concentrations with the potential of strongly increased dose response. In two formulations, no crystallization was observable in stability investigations over a period of 60 days. \u00a9 2005 Elsevier Ltd. All rights reserved.", "author" : [ { "dropping-particle" : "", "family" : "Engel", "given" : "Robert", "non-dropping-particle" : "", "parse-names" : false, "suffix" : "" }, { "dropping-particle" : "", "family" : "Schubert", "given" : "Helmar", "non-dropping-particle" : "", "parse-names" : false, "suffix" : "" } ], "container-title" : "Innovative Food Science &amp; Emerging Technologies", "id" : "ITEM-1", "issue" : "2", "issued" : { "date-parts" : [ [ "2005", "6" ] ] }, "page" : "233-237", "title" : "Formulation of phytosterols in emulsions for increased dose response in functional foods", "type" : "article-journal", "volume" : "6" }, "uris" : [ "http://www.mendeley.com/documents/?uuid=c728ed01-2b24-442e-88f1-653edbf37235" ] } ], "mendeley" : { "formattedCitation" : "(Engel and Schubert 2005)", "plainTextFormattedCitation" : "(Engel and Schubert 2005)", "previouslyFormattedCitation" : "(Engel and Schubert 2005)" }, "properties" : { "noteIndex" : 0 }, "schema" : "https://github.com/citation-style-language/schema/raw/master/csl-citation.json" }</w:instrText>
      </w:r>
      <w:r w:rsidRPr="00547FB5">
        <w:rPr>
          <w:rFonts w:cs="Arial"/>
          <w:lang w:val="en-GB"/>
        </w:rPr>
        <w:fldChar w:fldCharType="separate"/>
      </w:r>
      <w:r w:rsidRPr="00547FB5">
        <w:rPr>
          <w:rFonts w:cs="Arial"/>
          <w:noProof/>
          <w:lang w:val="en-GB"/>
        </w:rPr>
        <w:t>(Engel and Schubert 2005)</w:t>
      </w:r>
      <w:r w:rsidRPr="00547FB5">
        <w:rPr>
          <w:rFonts w:cs="Arial"/>
          <w:lang w:val="en-GB"/>
        </w:rPr>
        <w:fldChar w:fldCharType="end"/>
      </w:r>
      <w:r w:rsidRPr="00547FB5">
        <w:rPr>
          <w:rFonts w:cs="Arial"/>
          <w:lang w:val="en-GB"/>
        </w:rPr>
        <w:t xml:space="preserve">. The esters are also soluble in non-polar solvents but not in water. The increased solubility allows the esterified plant sterols and plant stanols to be dissolved into the fat components of spreads or fat-containing food products which have their fat components already homogenously distributed or emulsified. In addition varying the fatty acid composition of plant sterol esters can ‘tailor’ the solubility to improve incorporation into different food matrices. </w:t>
      </w:r>
      <w:r w:rsidRPr="00547FB5">
        <w:rPr>
          <w:lang w:val="en-GB"/>
        </w:rPr>
        <w:t>Esterified plant sterols have much lower melting temperatures, between 26 and 40</w:t>
      </w:r>
      <w:r w:rsidRPr="00547FB5">
        <w:rPr>
          <w:rFonts w:cs="Arial"/>
          <w:lang w:val="en-GB"/>
        </w:rPr>
        <w:sym w:font="Symbol" w:char="00B0"/>
      </w:r>
      <w:r w:rsidRPr="00547FB5">
        <w:rPr>
          <w:lang w:val="en-GB"/>
        </w:rPr>
        <w:t>C. With lowered melting points, the esters can be blended more easily in semi-solid foods such as spreads and yoghurt during processing at a temperature slightly higher than 40</w:t>
      </w:r>
      <w:r w:rsidRPr="00547FB5">
        <w:rPr>
          <w:lang w:val="en-GB"/>
        </w:rPr>
        <w:sym w:font="Symbol" w:char="00B0"/>
      </w:r>
      <w:r w:rsidRPr="00547FB5">
        <w:rPr>
          <w:lang w:val="en-GB"/>
        </w:rPr>
        <w:t xml:space="preserve">C. At this temperature, the esters behave like liquid oil, for example allowing an even coating of cereal grains for breakfast cereals. </w:t>
      </w:r>
    </w:p>
    <w:p w14:paraId="5D685E1F" w14:textId="77777777" w:rsidR="0051780C" w:rsidRPr="00547FB5" w:rsidRDefault="0051780C" w:rsidP="0051780C">
      <w:pPr>
        <w:rPr>
          <w:lang w:val="en-GB"/>
        </w:rPr>
      </w:pPr>
    </w:p>
    <w:p w14:paraId="07EFB1EB" w14:textId="77777777" w:rsidR="0051780C" w:rsidRPr="00547FB5" w:rsidRDefault="0051780C" w:rsidP="0051780C">
      <w:pPr>
        <w:rPr>
          <w:lang w:val="en-GB"/>
        </w:rPr>
      </w:pPr>
      <w:r w:rsidRPr="00547FB5">
        <w:rPr>
          <w:lang w:val="en-GB"/>
        </w:rPr>
        <w:t>Breakfast cereal manufacturers could use plant sterol esters, either directly as liquid oils at temperatures slightly above room temperature which could then coat the surfaces of the cereal flakes or components that make up the breakfast cereal, or they could be dissolved into a vegetable oil or fat to also coat the cereal ingredients of the breakfast cereal product. However there may be other techniques that breakfast cereal manufacturers could use to incorporate plant sterols into breakfast cereals.</w:t>
      </w:r>
    </w:p>
    <w:p w14:paraId="11893201" w14:textId="77777777" w:rsidR="0051780C" w:rsidRPr="00547FB5" w:rsidRDefault="0051780C" w:rsidP="0051780C">
      <w:pPr>
        <w:rPr>
          <w:lang w:val="en-GB"/>
        </w:rPr>
      </w:pPr>
    </w:p>
    <w:p w14:paraId="57501B97" w14:textId="77777777" w:rsidR="0051780C" w:rsidRPr="00547FB5" w:rsidRDefault="0051780C" w:rsidP="0051780C">
      <w:pPr>
        <w:rPr>
          <w:lang w:val="en-GB" w:bidi="ar-SA"/>
        </w:rPr>
      </w:pPr>
      <w:r w:rsidRPr="00547FB5">
        <w:rPr>
          <w:lang w:val="en-GB"/>
        </w:rPr>
        <w:t xml:space="preserve">There are commercial breakfast cereals (rolled oats used to produce porridge) sold in different countries that contain similar amounts of plant sterols to that proposed by the Applicant, so techniques and processes are known to achieve this. There is therefore no reason to believe the Applicant or other cereal manufacturers do not already, or could not readily obtain, the expertise, and if needed the equipment, to produce commercial breakfast cereals containing the higher levels of plant sterols requested in the Application which the Applicant has indicated they have investigated. Such methods would need to also meet the requirements of being uniformly distributed to comply with enforcement requirements relating to permissions and not cause organoleptic issues. </w:t>
      </w:r>
    </w:p>
    <w:p w14:paraId="373F57C8" w14:textId="77777777" w:rsidR="0051780C" w:rsidRPr="00F935CA" w:rsidRDefault="0051780C" w:rsidP="00B14D36">
      <w:pPr>
        <w:pStyle w:val="Heading2"/>
      </w:pPr>
      <w:bookmarkStart w:id="177" w:name="_Toc463507637"/>
      <w:bookmarkStart w:id="178" w:name="_Toc463881778"/>
      <w:bookmarkStart w:id="179" w:name="_Toc464569632"/>
      <w:bookmarkStart w:id="180" w:name="_Toc466903386"/>
      <w:bookmarkStart w:id="181" w:name="_Toc466909051"/>
      <w:bookmarkStart w:id="182" w:name="_Toc466986167"/>
      <w:bookmarkStart w:id="183" w:name="_Toc466986220"/>
      <w:bookmarkStart w:id="184" w:name="_Toc467052886"/>
      <w:bookmarkStart w:id="185" w:name="_Toc467064038"/>
      <w:bookmarkStart w:id="186" w:name="_Toc467064485"/>
      <w:bookmarkStart w:id="187" w:name="_Toc467077492"/>
      <w:bookmarkStart w:id="188" w:name="_Toc477274212"/>
      <w:bookmarkStart w:id="189" w:name="_Ref415037908"/>
      <w:bookmarkStart w:id="190" w:name="_Toc415041921"/>
      <w:r w:rsidRPr="00F935CA">
        <w:t>2.6</w:t>
      </w:r>
      <w:r w:rsidRPr="00F935CA">
        <w:tab/>
        <w:t>Food technology conclusions</w:t>
      </w:r>
      <w:bookmarkEnd w:id="177"/>
      <w:bookmarkEnd w:id="178"/>
      <w:bookmarkEnd w:id="179"/>
      <w:bookmarkEnd w:id="180"/>
      <w:bookmarkEnd w:id="181"/>
      <w:bookmarkEnd w:id="182"/>
      <w:bookmarkEnd w:id="183"/>
      <w:bookmarkEnd w:id="184"/>
      <w:bookmarkEnd w:id="185"/>
      <w:bookmarkEnd w:id="186"/>
      <w:bookmarkEnd w:id="187"/>
      <w:bookmarkEnd w:id="188"/>
    </w:p>
    <w:p w14:paraId="0C5B887B" w14:textId="77777777" w:rsidR="00724D8F" w:rsidRDefault="0051780C" w:rsidP="0051780C">
      <w:pPr>
        <w:rPr>
          <w:rFonts w:cs="Arial"/>
          <w:lang w:val="en-GB"/>
        </w:rPr>
      </w:pPr>
      <w:r w:rsidRPr="00547FB5">
        <w:rPr>
          <w:rFonts w:cs="Arial"/>
          <w:lang w:val="en-GB"/>
        </w:rPr>
        <w:t>There are very few losses due to oxidation</w:t>
      </w:r>
      <w:r>
        <w:rPr>
          <w:rFonts w:cs="Arial"/>
          <w:lang w:val="en-GB"/>
        </w:rPr>
        <w:t>,</w:t>
      </w:r>
      <w:r w:rsidRPr="00547FB5">
        <w:rPr>
          <w:rFonts w:cs="Arial"/>
          <w:lang w:val="en-GB"/>
        </w:rPr>
        <w:t xml:space="preserve"> provided the food containing the added plant sterols is not subject to very high processing temperatures and oxidising conditions. </w:t>
      </w:r>
      <w:r w:rsidR="00724D8F">
        <w:rPr>
          <w:rFonts w:cs="Arial"/>
          <w:lang w:val="en-GB"/>
        </w:rPr>
        <w:br w:type="page"/>
      </w:r>
    </w:p>
    <w:p w14:paraId="14176B07" w14:textId="374C7CC6" w:rsidR="0051780C" w:rsidRPr="00547FB5" w:rsidRDefault="0051780C" w:rsidP="0051780C">
      <w:pPr>
        <w:rPr>
          <w:rFonts w:cs="Arial"/>
          <w:lang w:val="en-GB"/>
        </w:rPr>
      </w:pPr>
      <w:r w:rsidRPr="00547FB5">
        <w:rPr>
          <w:rFonts w:cs="Arial"/>
          <w:lang w:val="en-GB"/>
        </w:rPr>
        <w:lastRenderedPageBreak/>
        <w:t>Breakfast cereals are not subjected to these extreme conditions in their manufacture or use. Plant sterols and plant stanols have</w:t>
      </w:r>
      <w:r w:rsidRPr="00547FB5" w:rsidDel="00416B1C">
        <w:rPr>
          <w:rFonts w:cs="Arial"/>
          <w:lang w:val="en-GB"/>
        </w:rPr>
        <w:t xml:space="preserve"> </w:t>
      </w:r>
      <w:r w:rsidRPr="00547FB5">
        <w:rPr>
          <w:rFonts w:cs="Arial"/>
          <w:lang w:val="en-GB"/>
        </w:rPr>
        <w:t xml:space="preserve">relatively low fat solubility and high melting temperatures, so they are often esterified with long chain fatty acids from vegetable oils to form plant sterol esters. These plant sterol esters have much lower melting points and also have greater solubility in fats and oils. These properties can be used to incorporate plant sterols into breakfast cereals, either by using them directly at temperatures around 40°C when they are liquids or dissolving them in fats or oils. Either of these liquids can be used to coat cereal ingredients to ensure the appropriate amount of plant sterol is uniformly incorporated. </w:t>
      </w:r>
    </w:p>
    <w:p w14:paraId="61719713" w14:textId="77777777" w:rsidR="0051780C" w:rsidRPr="00547FB5" w:rsidRDefault="0051780C" w:rsidP="0051780C">
      <w:pPr>
        <w:rPr>
          <w:rFonts w:cs="Arial"/>
          <w:lang w:val="en-GB"/>
        </w:rPr>
      </w:pPr>
    </w:p>
    <w:p w14:paraId="5DBDA232" w14:textId="77777777" w:rsidR="0051780C" w:rsidRDefault="0051780C" w:rsidP="0051780C">
      <w:pPr>
        <w:rPr>
          <w:rFonts w:cs="Arial"/>
          <w:lang w:val="en-GB"/>
        </w:rPr>
      </w:pPr>
      <w:r w:rsidRPr="00547FB5">
        <w:rPr>
          <w:rFonts w:cs="Arial"/>
          <w:lang w:val="en-GB"/>
        </w:rPr>
        <w:t>There may also be other process methods available to incorporate plant sterols into breakfast cereals. It is known that there are commercial breakfast cereals (rolled oats products) sold in other countries that contain amounts of plant sterols similar to that requested by the Application so methods do exist to achieve this. Adding plant sterols at higher amounts than currently permitted in breakfast cereal products as proposed by the Applicant is therefore concluded to be technologically feasible.</w:t>
      </w:r>
    </w:p>
    <w:p w14:paraId="4F044064" w14:textId="77777777" w:rsidR="0051780C" w:rsidRPr="00547FB5" w:rsidRDefault="0051780C" w:rsidP="0051780C">
      <w:pPr>
        <w:rPr>
          <w:lang w:val="en-GB" w:bidi="ar-SA"/>
        </w:rPr>
      </w:pPr>
    </w:p>
    <w:p w14:paraId="71270934" w14:textId="77777777" w:rsidR="0051780C" w:rsidRPr="00552334" w:rsidRDefault="0051780C" w:rsidP="00997D23">
      <w:pPr>
        <w:pStyle w:val="Heading1"/>
      </w:pPr>
      <w:bookmarkStart w:id="191" w:name="_Toc463507638"/>
      <w:bookmarkStart w:id="192" w:name="_Toc463881779"/>
      <w:bookmarkStart w:id="193" w:name="_Toc464569633"/>
      <w:bookmarkStart w:id="194" w:name="_Toc466903387"/>
      <w:bookmarkStart w:id="195" w:name="_Toc466909052"/>
      <w:bookmarkStart w:id="196" w:name="_Toc466986168"/>
      <w:bookmarkStart w:id="197" w:name="_Toc466986221"/>
      <w:bookmarkStart w:id="198" w:name="_Toc467052887"/>
      <w:bookmarkStart w:id="199" w:name="_Toc467064039"/>
      <w:bookmarkStart w:id="200" w:name="_Toc467064486"/>
      <w:bookmarkStart w:id="201" w:name="_Toc467077493"/>
      <w:bookmarkStart w:id="202" w:name="_Toc477274213"/>
      <w:r w:rsidRPr="00552334">
        <w:t>3</w:t>
      </w:r>
      <w:r w:rsidRPr="00552334">
        <w:tab/>
        <w:t>Hazard assessment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198F7AC" w14:textId="77777777" w:rsidR="0051780C" w:rsidRPr="00547FB5" w:rsidRDefault="0051780C" w:rsidP="0051780C">
      <w:pPr>
        <w:rPr>
          <w:lang w:val="en-GB" w:eastAsia="en-AU" w:bidi="ar-SA"/>
        </w:rPr>
      </w:pPr>
      <w:r w:rsidRPr="00547FB5">
        <w:rPr>
          <w:lang w:val="en-GB" w:eastAsia="en-AU" w:bidi="ar-SA"/>
        </w:rPr>
        <w:t>FSANZ has conducted a number of assessments of plant sterols in the past. The most recent comprehensive assessment was in 2010, as part of A1019 – Exclusive Use of Phytosterol Esters in Lower-fat Cheese Products. The current assessment is therefore limited to a review of the relevant literature since that assessment.</w:t>
      </w:r>
    </w:p>
    <w:p w14:paraId="646224A0" w14:textId="77777777" w:rsidR="0051780C" w:rsidRPr="00547FB5" w:rsidRDefault="0051780C" w:rsidP="0051780C">
      <w:pPr>
        <w:rPr>
          <w:lang w:val="en-GB" w:eastAsia="en-AU" w:bidi="ar-SA"/>
        </w:rPr>
      </w:pPr>
    </w:p>
    <w:p w14:paraId="2423EF3C" w14:textId="77777777" w:rsidR="0051780C" w:rsidRPr="00547FB5" w:rsidRDefault="0051780C" w:rsidP="0051780C">
      <w:pPr>
        <w:rPr>
          <w:lang w:val="en-GB" w:eastAsia="en-AU" w:bidi="ar-SA"/>
        </w:rPr>
      </w:pPr>
      <w:r w:rsidRPr="00547FB5">
        <w:rPr>
          <w:lang w:val="en-GB" w:eastAsia="en-AU" w:bidi="ar-SA"/>
        </w:rPr>
        <w:t>An ADI of 0-40 mg/kg of body weight, expressed as the sum of phytosterols and phytostanols in their free form, was established at the 69</w:t>
      </w:r>
      <w:r w:rsidRPr="00547FB5">
        <w:rPr>
          <w:vertAlign w:val="superscript"/>
          <w:lang w:val="en-GB" w:eastAsia="en-AU" w:bidi="ar-SA"/>
        </w:rPr>
        <w:t>th</w:t>
      </w:r>
      <w:r w:rsidRPr="00547FB5">
        <w:rPr>
          <w:lang w:val="en-GB" w:eastAsia="en-AU" w:bidi="ar-SA"/>
        </w:rPr>
        <w:t xml:space="preserve"> JECFA </w:t>
      </w:r>
      <w:r w:rsidRPr="00547FB5">
        <w:rPr>
          <w:lang w:val="en-GB" w:eastAsia="en-AU" w:bidi="ar-SA"/>
        </w:rPr>
        <w:fldChar w:fldCharType="begin" w:fldLock="1"/>
      </w:r>
      <w:r w:rsidRPr="00547FB5">
        <w:rPr>
          <w:lang w:val="en-GB" w:eastAsia="en-AU" w:bidi="ar-SA"/>
        </w:rPr>
        <w:instrText>ADDIN CSL_CITATION { "citationItems" : [ { "id" : "ITEM-1", "itemData" : { "author" : [ { "dropping-particle" : "", "family" : "JECFA", "given" : "", "non-dropping-particle" : "", "parse-names" : false, "suffix" : "" } ], "id" : "ITEM-1", "issued" : { "date-parts" : [ [ "2008" ] ] }, "number-of-pages" : "Monograph 5", "publisher-place" : "Rome, Italy", "title" : "Combined Compendium of Food Additive Specifications", "type" : "report" }, "uris" : [ "http://www.mendeley.com/documents/?uuid=e7838d99-8db3-445d-a44d-ec018e873203" ] } ], "mendeley" : { "formattedCitation" : "(JECFA 2008)", "plainTextFormattedCitation" : "(JECFA 2008)", "previouslyFormattedCitation" : "(JECFA 2008)"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(JECFA 2008)</w:t>
      </w:r>
      <w:r w:rsidRPr="00547FB5">
        <w:rPr>
          <w:lang w:val="en-GB" w:eastAsia="en-AU" w:bidi="ar-SA"/>
        </w:rPr>
        <w:fldChar w:fldCharType="end"/>
      </w:r>
      <w:r w:rsidRPr="00547FB5">
        <w:rPr>
          <w:lang w:val="en-GB" w:eastAsia="en-AU" w:bidi="ar-SA"/>
        </w:rPr>
        <w:t xml:space="preserve">. FSANZ concluded in 2010 that there is no justification for an ADI for plant sterols, because the apparent treatment-related adverse effect is entirely explained by the background incidence of pathology found in historical control data for the strain of rats used in the studies on which JECFA based the ADI. </w:t>
      </w:r>
    </w:p>
    <w:p w14:paraId="119D9F53" w14:textId="77777777" w:rsidR="0051780C" w:rsidRPr="00F935CA" w:rsidRDefault="0051780C" w:rsidP="00B14D36">
      <w:pPr>
        <w:pStyle w:val="Heading2"/>
        <w:numPr>
          <w:ilvl w:val="1"/>
          <w:numId w:val="32"/>
        </w:numPr>
      </w:pPr>
      <w:bookmarkStart w:id="203" w:name="_Toc461010982"/>
      <w:bookmarkStart w:id="204" w:name="_Toc463507639"/>
      <w:bookmarkStart w:id="205" w:name="_Toc463881780"/>
      <w:bookmarkStart w:id="206" w:name="_Toc464569634"/>
      <w:bookmarkStart w:id="207" w:name="_Toc466903388"/>
      <w:bookmarkStart w:id="208" w:name="_Toc466909053"/>
      <w:bookmarkStart w:id="209" w:name="_Toc466986169"/>
      <w:bookmarkStart w:id="210" w:name="_Toc466986222"/>
      <w:bookmarkStart w:id="211" w:name="_Toc467052888"/>
      <w:bookmarkStart w:id="212" w:name="_Toc467064040"/>
      <w:bookmarkStart w:id="213" w:name="_Toc467064487"/>
      <w:bookmarkStart w:id="214" w:name="_Toc467077494"/>
      <w:bookmarkStart w:id="215" w:name="_Toc477274214"/>
      <w:r w:rsidRPr="00F935CA">
        <w:t xml:space="preserve">Review of the current relevant </w:t>
      </w:r>
      <w:bookmarkEnd w:id="203"/>
      <w:r w:rsidRPr="00F935CA">
        <w:t>evidence</w:t>
      </w:r>
      <w:bookmarkEnd w:id="204"/>
      <w:bookmarkEnd w:id="205"/>
      <w:bookmarkEnd w:id="206"/>
      <w:bookmarkEnd w:id="207"/>
      <w:bookmarkEnd w:id="208"/>
      <w:bookmarkEnd w:id="209"/>
      <w:bookmarkEnd w:id="210"/>
      <w:bookmarkEnd w:id="211"/>
      <w:bookmarkEnd w:id="212"/>
      <w:bookmarkEnd w:id="213"/>
      <w:bookmarkEnd w:id="214"/>
      <w:bookmarkEnd w:id="215"/>
    </w:p>
    <w:p w14:paraId="66F5F46A" w14:textId="702EF551" w:rsidR="0051780C" w:rsidRDefault="0051780C" w:rsidP="0051780C">
      <w:pPr>
        <w:rPr>
          <w:lang w:val="en-GB" w:bidi="ar-SA"/>
        </w:rPr>
      </w:pPr>
      <w:r w:rsidRPr="00547FB5">
        <w:rPr>
          <w:lang w:val="en-GB" w:bidi="ar-SA"/>
        </w:rPr>
        <w:t>No new non-clinical or clinical studies were located in literature searches concerning the toxicity or safety of plant sterols since 2010</w:t>
      </w:r>
      <w:r w:rsidR="00915A1A">
        <w:rPr>
          <w:lang w:val="en-GB" w:bidi="ar-SA"/>
        </w:rPr>
        <w:t xml:space="preserve">, with the exception of </w:t>
      </w:r>
      <w:r w:rsidR="009C70F5">
        <w:rPr>
          <w:lang w:val="en-GB" w:bidi="ar-SA"/>
        </w:rPr>
        <w:t>one</w:t>
      </w:r>
      <w:r w:rsidR="00915A1A">
        <w:rPr>
          <w:lang w:val="en-GB" w:bidi="ar-SA"/>
        </w:rPr>
        <w:t xml:space="preserve"> study on plant sterol oxidation products</w:t>
      </w:r>
      <w:r w:rsidR="009C70F5">
        <w:rPr>
          <w:lang w:val="en-GB" w:bidi="ar-SA"/>
        </w:rPr>
        <w:t xml:space="preserve"> </w:t>
      </w:r>
      <w:r w:rsidR="008C091B">
        <w:rPr>
          <w:lang w:val="en-GB" w:bidi="ar-SA"/>
        </w:rPr>
        <w:t xml:space="preserve">(POPs) </w:t>
      </w:r>
      <w:r w:rsidR="009C70F5">
        <w:rPr>
          <w:lang w:val="en-GB" w:bidi="ar-SA"/>
        </w:rPr>
        <w:t>in rats (Scholz et al. 2015) and one study on formation of POPs in humans</w:t>
      </w:r>
      <w:r w:rsidR="00915A1A">
        <w:rPr>
          <w:lang w:val="en-GB" w:bidi="ar-SA"/>
        </w:rPr>
        <w:t xml:space="preserve"> </w:t>
      </w:r>
      <w:r w:rsidR="008C091B">
        <w:rPr>
          <w:lang w:val="en-GB" w:bidi="ar-SA"/>
        </w:rPr>
        <w:t>(</w:t>
      </w:r>
      <w:r w:rsidR="00915A1A">
        <w:rPr>
          <w:lang w:val="en-GB" w:bidi="ar-SA"/>
        </w:rPr>
        <w:t>Baumgartner et al. 2013)</w:t>
      </w:r>
      <w:r w:rsidRPr="00547FB5">
        <w:rPr>
          <w:lang w:val="en-GB" w:bidi="ar-SA"/>
        </w:rPr>
        <w:t>. However, a small number of reviews and meta-analyses related to the safety of dietary plant sterols supplementation were found. Concerns about the safety of dietary plant sterols raised in those reviews may be summarised as the following:</w:t>
      </w:r>
    </w:p>
    <w:p w14:paraId="04AE685E" w14:textId="77777777" w:rsidR="0051780C" w:rsidRPr="00547FB5" w:rsidRDefault="0051780C" w:rsidP="0051780C">
      <w:pPr>
        <w:rPr>
          <w:lang w:val="en-GB" w:bidi="ar-SA"/>
        </w:rPr>
      </w:pPr>
    </w:p>
    <w:p w14:paraId="31E69A2B" w14:textId="77777777" w:rsidR="0051780C" w:rsidRPr="00547FB5" w:rsidRDefault="0051780C" w:rsidP="0051780C">
      <w:pPr>
        <w:pStyle w:val="FSBullet1"/>
        <w:rPr>
          <w:lang w:val="en-GB"/>
        </w:rPr>
      </w:pPr>
      <w:r w:rsidRPr="00547FB5">
        <w:rPr>
          <w:lang w:val="en-GB"/>
        </w:rPr>
        <w:t>moderately elevated plasma plant sterol levels have been associated with increased cardiovascular risk</w:t>
      </w:r>
    </w:p>
    <w:p w14:paraId="76B52A0D" w14:textId="77777777" w:rsidR="0051780C" w:rsidRPr="00547FB5" w:rsidRDefault="0051780C" w:rsidP="0051780C">
      <w:pPr>
        <w:pStyle w:val="FSBullet1"/>
        <w:rPr>
          <w:lang w:val="en-GB"/>
        </w:rPr>
      </w:pPr>
      <w:r w:rsidRPr="00547FB5">
        <w:rPr>
          <w:lang w:val="en-GB"/>
        </w:rPr>
        <w:t>genetic variants associated with increased serum concentrations of plant sterols are also associated with cardiovascular risk</w:t>
      </w:r>
    </w:p>
    <w:p w14:paraId="1F1B2B09" w14:textId="5986DB17" w:rsidR="0051780C" w:rsidRPr="00547FB5" w:rsidRDefault="0051780C" w:rsidP="0051780C">
      <w:pPr>
        <w:pStyle w:val="FSBullet1"/>
        <w:rPr>
          <w:lang w:val="en-GB"/>
        </w:rPr>
      </w:pPr>
      <w:r w:rsidRPr="00547FB5">
        <w:rPr>
          <w:lang w:val="en-GB"/>
        </w:rPr>
        <w:t>POPs may pose a risk to consumers of plant sterols</w:t>
      </w:r>
    </w:p>
    <w:p w14:paraId="704ECAEA" w14:textId="09E35FAC" w:rsidR="0051780C" w:rsidRPr="00547FB5" w:rsidRDefault="0051780C" w:rsidP="0051780C">
      <w:pPr>
        <w:pStyle w:val="FSBullet1"/>
        <w:rPr>
          <w:lang w:val="en-GB"/>
        </w:rPr>
      </w:pPr>
      <w:r w:rsidRPr="00547FB5">
        <w:rPr>
          <w:lang w:val="en-GB"/>
        </w:rPr>
        <w:t>no intervention studies have been performed to show that clinically relevant cardiovascular endpoints may be reduced</w:t>
      </w:r>
    </w:p>
    <w:p w14:paraId="19CB5A43" w14:textId="77777777" w:rsidR="0051780C" w:rsidRPr="00547FB5" w:rsidRDefault="0051780C" w:rsidP="0051780C">
      <w:pPr>
        <w:pStyle w:val="FSBullet1"/>
        <w:rPr>
          <w:lang w:val="en-GB"/>
        </w:rPr>
      </w:pPr>
      <w:r w:rsidRPr="00547FB5">
        <w:rPr>
          <w:lang w:val="en-GB"/>
        </w:rPr>
        <w:t>plant sterols pose a risk because patients with sitosterolaemia may develop early onset atherosclerosis</w:t>
      </w:r>
    </w:p>
    <w:p w14:paraId="29527B5B" w14:textId="77777777" w:rsidR="0051780C" w:rsidRPr="002A0924" w:rsidRDefault="0051780C" w:rsidP="0051780C">
      <w:pPr>
        <w:pStyle w:val="FSBullet1"/>
        <w:rPr>
          <w:lang w:val="en-GB"/>
        </w:rPr>
      </w:pPr>
      <w:r w:rsidRPr="002A0924">
        <w:rPr>
          <w:lang w:val="en-GB"/>
        </w:rPr>
        <w:t xml:space="preserve">plant sterols supplementation may result in decreased circulating levels of carotenoids, which might in turn lead to a higher incidence of certain cancers and of macular degeneration. </w:t>
      </w:r>
    </w:p>
    <w:p w14:paraId="5C5322AE" w14:textId="77777777" w:rsidR="0051780C" w:rsidRPr="002A0924" w:rsidRDefault="0051780C" w:rsidP="0051780C">
      <w:pPr>
        <w:rPr>
          <w:lang w:val="en-GB" w:bidi="ar-SA"/>
        </w:rPr>
      </w:pPr>
    </w:p>
    <w:p w14:paraId="7C665821" w14:textId="6BF441C6" w:rsidR="00724D8F" w:rsidRDefault="0051780C" w:rsidP="0051780C">
      <w:pPr>
        <w:rPr>
          <w:lang w:val="en-GB" w:bidi="ar-SA"/>
        </w:rPr>
      </w:pPr>
      <w:r w:rsidRPr="002A0924">
        <w:rPr>
          <w:lang w:val="en-GB" w:bidi="ar-SA"/>
        </w:rPr>
        <w:t xml:space="preserve">These concerns are addressed in order in this review. </w:t>
      </w:r>
      <w:r w:rsidR="00724D8F">
        <w:rPr>
          <w:lang w:val="en-GB" w:bidi="ar-SA"/>
        </w:rPr>
        <w:br w:type="page"/>
      </w:r>
    </w:p>
    <w:p w14:paraId="7D4FF1E8" w14:textId="77777777" w:rsidR="0051780C" w:rsidRPr="00F935CA" w:rsidRDefault="0051780C" w:rsidP="00B14D36">
      <w:pPr>
        <w:pStyle w:val="Heading3"/>
      </w:pPr>
      <w:bookmarkStart w:id="216" w:name="_Toc477274215"/>
      <w:r w:rsidRPr="00F935CA">
        <w:lastRenderedPageBreak/>
        <w:t>1.</w:t>
      </w:r>
      <w:r w:rsidRPr="00F935CA">
        <w:tab/>
        <w:t>Moderately elevated plasma plant sterols levels have been associated with increased cardiovascular risk</w:t>
      </w:r>
      <w:bookmarkEnd w:id="216"/>
    </w:p>
    <w:p w14:paraId="7F003E26" w14:textId="77777777" w:rsidR="0051780C" w:rsidRPr="00547FB5" w:rsidRDefault="0051780C" w:rsidP="0051780C">
      <w:pPr>
        <w:rPr>
          <w:lang w:val="en-GB" w:bidi="ar-SA"/>
        </w:rPr>
      </w:pPr>
      <w:r w:rsidRPr="00547FB5">
        <w:rPr>
          <w:lang w:val="en-GB" w:bidi="ar-SA"/>
        </w:rPr>
        <w:t xml:space="preserve">There are contradictory reports in the literature concerning correlation between plasma plant sterol concentrations and cardiovascular risk. Some studies have shown a positive correlation, whereas others have shown a negative correlation or no correlation </w:t>
      </w:r>
      <w:r w:rsidRPr="00547FB5">
        <w:rPr>
          <w:lang w:val="en-GB" w:bidi="ar-SA"/>
        </w:rPr>
        <w:fldChar w:fldCharType="begin" w:fldLock="1"/>
      </w:r>
      <w:r w:rsidRPr="00547FB5">
        <w:rPr>
          <w:lang w:val="en-GB" w:bidi="ar-SA"/>
        </w:rPr>
        <w:instrText>ADDIN CSL_CITATION { "citationItems" : [ { "id" : "ITEM-1", "itemData" : { "DOI" : "10.1016/j.bbrc.2014.01.147", "ISBN" : "0006-291X", "ISSN" : "0006291X", "PMID" : "24491560", "abstract" : "Plant sterols are supplemented in foods to reduce cardiovascular risk. Randomized controlled trials show 2 g of plant sterols a day reduce serum cholesterol by about 10%. This reduction in serum cholesterol levels is achieved at the expense of increased serum plant sterol levels. Findings in patients with phytosterolemia, in experimental studies and in clinical trials have lead to speculations that plant sterols might be atherogenic. In view of emerging safety issues the role of plant sterols in cardiovascular prevention has become controversial. This review reflects the ongoing controversial scientific debate and points out recent developments in guidelines of national and international societies. ?? 2014 Published by Elsevier Inc.", "author" : [ { "dropping-particle" : "", "family" : "Weing\u00e4rtner", "given" : "Oliver", "non-dropping-particle" : "", "parse-names" : false, "suffix" : "" }, { "dropping-particle" : "", "family" : "Baber", "given" : "Ronny", "non-dropping-particle" : "", "parse-names" : false, "suffix" : "" }, { "dropping-particle" : "", "family" : "Teupser", "given" : "Daniel", "non-dropping-particle" : "", "parse-names" : false, "suffix" : "" } ], "container-title" : "Biochemical and Biophysical Research Communications", "id" : "ITEM-1", "issue" : "3", "issued" : { "date-parts" : [ [ "2014", "4" ] ] }, "page" : "811-813", "title" : "Plant sterols in food: No consensus in guidelines", "type" : "article-journal", "volume" : "446" }, "uris" : [ "http://www.mendeley.com/documents/?uuid=4a162b0a-6d41-4989-9e6d-07dcaff29bc3" ] }, { "id" : "ITEM-2", "itemData" : { "DOI" : "10.5740/jaoacint.SGESilbernagel", "ISSN" : "1060-3271", "PMID" : "25942652", "abstract" : "Plant sterols and stanols as components of functional foods are widely used for cholesterol lowering. The regular intake of these functional foods is associated with a decrease in low density lipoprotein cholesterol of about 10 % and an increase in plasma plant sterol or stanol concentrations by about a factor of 2. There is no doubt that a decrease in low density lipoprotein cholesterol is beneficial to cardiovascular health. However, due to the concomitant increase in circulating plant sterols safety issues associated with the intake of plant sterol containing functional foods have been raised. Herein, we will review and evaluate those arguments raised against the use of plant sterols and stanols.", "author" : [ { "dropping-particle" : "", "family" : "Silbernagel", "given" : "Guenther", "non-dropping-particle" : "", "parse-names" : false, "suffix" : "" }, { "dropping-particle" : "", "family" : "Baumgartner", "given" : "Iris", "non-dropping-particle" : "", "parse-names" : false, "suffix" : "" }, { "dropping-particle" : "", "family" : "M\u00e4rz", "given" : "Winfried", "non-dropping-particle" : "", "parse-names" : false, "suffix" : "" } ], "container-title" : "Journal of AOAC International", "id" : "ITEM-2", "issue" : "3", "issued" : { "date-parts" : [ [ "2015", "1" ] ] }, "page" : "739-741", "title" : "Cardiovascular Safety of Plant Sterol and Stanol Consumption.", "type" : "article-journal", "volume" : "98" }, "uris" : [ "http://www.mendeley.com/documents/?uuid=9414a0fe-a1c3-4513-ac4f-b2b6a947a5b9" ] }, { "id" : "ITEM-3", "itemData" : { "DOI" : "10.5740/jaoacint.SGEWeingartner", "ISSN" : "1060-3271", "PMID" : "25942705", "abstract" : "The human diet is naturally varied and contains not only essential nutrients, but also contains molecules that the body actively excludes or minimizes exposure. Among these molecules are xenosterols, of which plant sterols comprise the greatest exposure risk. These sterols comprise approximately 50% of the total sterols we eat, yet we retain &lt;0.5% of these in our bodies. The bulk of this exclusion takes place in the intestine and the heterodimeric transporters ABCG5 and ABCG8 are key to keeping these xenosterols out of our bodies. In normal humans, pharmacological supplementation with plant sterols (and stanols) has been used to lower cholesterol as these impair intestinal absorption/ re-absorption of this molecule; lowering plasma cholesterol has cardiovascular risk benefits. This review challenges whether this intervention is beneficial and may even be harmful. We summarize the evidence involving humans who have genetic disruption of ABCG5/ABCG8 function, from clinical trial data examining plant sterols and cardiovascular risk, from genetic data affecting normal humans and ABCG5/ABCG8 variations to data obtained using animal models. Accumulation of xenosterols in any significant amount is clearly associated with increased toxicity, and data suggest that at even low levels there may be effects. Importantly, there is also a paucity of data showing cardiovascular end-point benefits with plant sterol/stanol supplementation. The summary of evidence highlights not only caution in recommending such strategies to lower plasma cholesterol, but also in investigating how these xenosterols can affect processes ranging from cardiovascular, endocrine, and neurological function.", "author" : [ { "dropping-particle" : "", "family" : "Weing\u00e4rtner", "given" : "Oliver", "non-dropping-particle" : "", "parse-names" : false, "suffix" : "" }, { "dropping-particle" : "", "family" : "Teupser", "given" : "Daniel", "non-dropping-particle" : "", "parse-names" : false, "suffix" : "" }, { "dropping-particle" : "", "family" : "Patel", "given" : "Shailendra B", "non-dropping-particle" : "", "parse-names" : false, "suffix" : "" } ], "container-title" : "Journal of AOAC International", "id" : "ITEM-3", "issue" : "3", "issued" : { "date-parts" : [ [ "2015", "1" ] ] }, "page" : "742-9", "title" : "The Atherogenicity of Plant Sterols: The Evidence from Genetics to Clinical Trials.", "type" : "article-journal", "volume" : "98" }, "uris" : [ "http://www.mendeley.com/documents/?uuid=05c3ca2d-5f06-48be-8764-b097df64a139" ] } ], "mendeley" : { "formattedCitation" : "(Weing\u00e4rtner et al. 2014; Silbernagel et al. 2015; Weing\u00e4rtner et al. 2015)", "plainTextFormattedCitation" : "(Weing\u00e4rtner et al. 2014; Silbernagel et al. 2015; Weing\u00e4rtner et al. 2015)", "previouslyFormattedCitation" : "(Weing\u00e4rtner et al. 2014; Silbernagel et al. 2015; Weing\u00e4rtner et al. 2015)" }, "properties" : { "noteIndex" : 0 }, "schema" : "https://github.com/citation-style-language/schema/raw/master/csl-citation.json" }</w:instrText>
      </w:r>
      <w:r w:rsidRPr="00547FB5">
        <w:rPr>
          <w:lang w:val="en-GB" w:bidi="ar-SA"/>
        </w:rPr>
        <w:fldChar w:fldCharType="separate"/>
      </w:r>
      <w:r w:rsidRPr="00547FB5">
        <w:rPr>
          <w:noProof/>
          <w:lang w:val="en-GB" w:bidi="ar-SA"/>
        </w:rPr>
        <w:t>(Weingärtner et al. 2014; Silbernagel et al. 2015; Weingärtner et al. 2015)</w:t>
      </w:r>
      <w:r w:rsidRPr="00547FB5">
        <w:rPr>
          <w:lang w:val="en-GB" w:bidi="ar-SA"/>
        </w:rPr>
        <w:fldChar w:fldCharType="end"/>
      </w:r>
      <w:r w:rsidRPr="00547FB5">
        <w:rPr>
          <w:lang w:val="en-GB" w:bidi="ar-SA"/>
        </w:rPr>
        <w:t xml:space="preserve">. This variability appears to reflect the confounding effects of individual cholesterol absorption rate on plasma plant sterol concentrations and on cardiovascular risk (Silbernagel </w:t>
      </w:r>
      <w:r w:rsidRPr="00547FB5">
        <w:rPr>
          <w:iCs/>
          <w:lang w:val="en-GB" w:bidi="ar-SA"/>
        </w:rPr>
        <w:t xml:space="preserve">et al. </w:t>
      </w:r>
      <w:r w:rsidRPr="00547FB5">
        <w:rPr>
          <w:lang w:val="en-GB" w:bidi="ar-SA"/>
        </w:rPr>
        <w:t xml:space="preserve">2015). Genser </w:t>
      </w:r>
      <w:r w:rsidRPr="00547FB5">
        <w:rPr>
          <w:iCs/>
          <w:lang w:val="en-GB" w:bidi="ar-SA"/>
        </w:rPr>
        <w:t>et al.</w:t>
      </w:r>
      <w:r w:rsidRPr="00547FB5">
        <w:rPr>
          <w:lang w:val="en-GB" w:bidi="ar-SA"/>
        </w:rPr>
        <w:t xml:space="preserve"> </w:t>
      </w:r>
      <w:r w:rsidRPr="00547FB5">
        <w:rPr>
          <w:lang w:val="en-GB" w:bidi="ar-SA"/>
        </w:rPr>
        <w:fldChar w:fldCharType="begin" w:fldLock="1"/>
      </w:r>
      <w:r w:rsidRPr="00547FB5">
        <w:rPr>
          <w:lang w:val="en-GB" w:bidi="ar-SA"/>
        </w:rPr>
        <w:instrText>ADDIN CSL_CITATION { "citationItems" : [ { "id" : "ITEM-1", "itemData" : { "DOI" : "10.1093/eurheartj/ehr441", "ISBN" : "1522-9645 (Electronic)\\r0195-668X (Linking)", "ISSN" : "0195-668X", "PMID" : "22334625", "abstract" : "The impact of increased serum concentrations of plant sterols on cardiovascular risk is unclear. We conducted a systematic review and meta-analysis aimed to investigate whether there is an association between serum concentrations of two common plant sterols (sitosterol, campesterol) and cardiovascular disease (CVD). We systematically searched the databases MEDLINE, EMBASE, and COCHRANE for studies published between January 1950 and April 2010 that reported either risk ratios (RR) of CVD in relation to serum sterol concentrations (either absolute or expressed as ratios relative to total cholesterol) or serum sterol concentrations in CVD cases and controls separately. We conducted two meta-analyses, one based on RR of CVD contrasting the upper vs. the lower third of the sterol distribution, and another based on standardized mean differences between CVD cases and controls. Summary estimates were derived by fixed and random effects meta-analysis techniques. We identified 17 studies using different designs (four case-control, five nested case-control, three cohort, five cross-sectional) involving 11 182 participants. Eight studies reported RR of CVD and 15 studies reported serum concentrations in CVD cases and controls. Funnel plots showed evidence for publication bias indicating small unpublished studies with non-significant findings. Neither of our meta-analyses suggested any relationship between serum concentrations of sitosterol and campesterol (both absolute concentrations and ratios to cholesterol) and risk of CVD. Our systematic review and meta-analysis did not reveal any evidence of an association between serum concentrations of plant sterols and risk of CVD.", "author" : [ { "dropping-particle" : "", "family" : "Genser", "given" : "Bernd", "non-dropping-particle" : "", "parse-names" : false, "suffix" : "" }, { "dropping-particle" : "", "family" : "Silbernagel", "given" : "Gnther", "non-dropping-particle" : "", "parse-names" : false, "suffix" : "" }, { "dropping-particle" : "", "family" : "Backer", "given" : "Guy", "non-dropping-particle" : "De", "parse-names" : false, "suffix" : "" }, { "dropping-particle" : "", "family" : "Bruckert", "given" : "Eric", "non-dropping-particle" : "", "parse-names" : false, "suffix" : "" }, { "dropping-particle" : "", "family" : "Carmena", "given" : "Rafael", "non-dropping-particle" : "", "parse-names" : false, "suffix" : "" }, { "dropping-particle" : "", "family" : "Chapman", "given" : "M. John", "non-dropping-particle" : "", "parse-names" : false, "suffix" : "" }, { "dropping-particle" : "", "family" : "Deanfield", "given" : "John", "non-dropping-particle" : "", "parse-names" : false, "suffix" : "" }, { "dropping-particle" : "", "family" : "Descamps", "given" : "Olivier S.", "non-dropping-particle" : "", "parse-names" : false, "suffix" : "" }, { "dropping-particle" : "", "family" : "Rietzschel", "given" : "Ernst R.", "non-dropping-particle" : "", "parse-names" : false, "suffix" : "" }, { "dropping-particle" : "", "family" : "Dias", "given" : "Karen C.", "non-dropping-particle" : "", "parse-names" : false, "suffix" : "" }, { "dropping-particle" : "", "family" : "Marz", "given" : "W.", "non-dropping-particle" : "", "parse-names" : false, "suffix" : "" } ], "container-title" : "European Heart Journal", "id" : "ITEM-1", "issue" : "4", "issued" : { "date-parts" : [ [ "2012", "2", "2" ] ] }, "page" : "444-451", "title" : "Plant sterols and cardiovascular disease: a systematic review and meta-analysis", "type" : "article-journal", "volume" : "33" }, "suppress-author" : 1, "uris" : [ "http://www.mendeley.com/documents/?uuid=044419da-e9a8-44d3-a21a-c495c1590347" ] } ], "mendeley" : { "formattedCitation" : "(2012)", "plainTextFormattedCitation" : "(2012)", "previouslyFormattedCitation" : "(2012)" }, "properties" : { "noteIndex" : 0 }, "schema" : "https://github.com/citation-style-language/schema/raw/master/csl-citation.json" }</w:instrText>
      </w:r>
      <w:r w:rsidRPr="00547FB5">
        <w:rPr>
          <w:lang w:val="en-GB" w:bidi="ar-SA"/>
        </w:rPr>
        <w:fldChar w:fldCharType="separate"/>
      </w:r>
      <w:r w:rsidRPr="00547FB5">
        <w:rPr>
          <w:noProof/>
          <w:lang w:val="en-GB" w:bidi="ar-SA"/>
        </w:rPr>
        <w:t>(2012)</w:t>
      </w:r>
      <w:r w:rsidRPr="00547FB5">
        <w:rPr>
          <w:lang w:val="en-GB" w:bidi="ar-SA"/>
        </w:rPr>
        <w:fldChar w:fldCharType="end"/>
      </w:r>
      <w:r w:rsidRPr="00547FB5">
        <w:rPr>
          <w:lang w:val="en-GB" w:bidi="ar-SA"/>
        </w:rPr>
        <w:t xml:space="preserve"> conducted a systematic review of studies published between</w:t>
      </w:r>
      <w:r w:rsidRPr="00547FB5">
        <w:rPr>
          <w:lang w:val="en-GB"/>
        </w:rPr>
        <w:t xml:space="preserve"> </w:t>
      </w:r>
      <w:r w:rsidRPr="00547FB5">
        <w:rPr>
          <w:lang w:val="en-GB" w:bidi="ar-SA"/>
        </w:rPr>
        <w:t xml:space="preserve">January 1950 and April 2010, and identified 17 papers suitable for inclusion in a meta-analysis. The meta-analysis did not identify a consistent association of circulating plant sterols and cardiovascular disease. </w:t>
      </w:r>
    </w:p>
    <w:p w14:paraId="475D3529" w14:textId="77777777" w:rsidR="0051780C" w:rsidRPr="00547FB5" w:rsidRDefault="0051780C" w:rsidP="0051780C">
      <w:pPr>
        <w:rPr>
          <w:lang w:val="en-GB" w:bidi="ar-SA"/>
        </w:rPr>
      </w:pPr>
    </w:p>
    <w:p w14:paraId="5DCD3B63" w14:textId="6B49C714" w:rsidR="0051780C" w:rsidRPr="00547FB5" w:rsidRDefault="0051780C" w:rsidP="0051780C">
      <w:pPr>
        <w:rPr>
          <w:lang w:val="en-GB" w:bidi="ar-SA"/>
        </w:rPr>
      </w:pPr>
      <w:r w:rsidRPr="00547FB5">
        <w:rPr>
          <w:lang w:val="en-GB" w:bidi="ar-SA"/>
        </w:rPr>
        <w:t>While the quantitative analysis of plasma cholesterol is standardised internationally, the measurement of plasma plant sterols is not, which makes it difficult to compare the results from different laboratories (Weing</w:t>
      </w:r>
      <w:r w:rsidRPr="00547FB5">
        <w:rPr>
          <w:rFonts w:cs="Arial"/>
          <w:lang w:val="en-GB" w:bidi="ar-SA"/>
        </w:rPr>
        <w:t>ä</w:t>
      </w:r>
      <w:r w:rsidRPr="00547FB5">
        <w:rPr>
          <w:lang w:val="en-GB" w:bidi="ar-SA"/>
        </w:rPr>
        <w:t xml:space="preserve">rtner </w:t>
      </w:r>
      <w:r w:rsidRPr="00547FB5">
        <w:rPr>
          <w:iCs/>
          <w:lang w:val="en-GB" w:bidi="ar-SA"/>
        </w:rPr>
        <w:t>et al.</w:t>
      </w:r>
      <w:r w:rsidRPr="00547FB5">
        <w:rPr>
          <w:lang w:val="en-GB" w:bidi="ar-SA"/>
        </w:rPr>
        <w:t xml:space="preserve"> 2014)</w:t>
      </w:r>
      <w:r w:rsidR="00425314">
        <w:rPr>
          <w:lang w:val="en-GB" w:bidi="ar-SA"/>
        </w:rPr>
        <w:t>.</w:t>
      </w:r>
      <w:r w:rsidRPr="00547FB5">
        <w:rPr>
          <w:lang w:val="en-GB" w:bidi="ar-SA"/>
        </w:rPr>
        <w:t xml:space="preserve"> </w:t>
      </w:r>
    </w:p>
    <w:p w14:paraId="256C2879" w14:textId="77777777" w:rsidR="0051780C" w:rsidRPr="002A0924" w:rsidDel="00517412" w:rsidRDefault="0051780C" w:rsidP="00B14D36">
      <w:pPr>
        <w:pStyle w:val="Heading3"/>
        <w:rPr>
          <w:i/>
        </w:rPr>
      </w:pPr>
      <w:bookmarkStart w:id="217" w:name="_Toc477274216"/>
      <w:r w:rsidRPr="00F935CA">
        <w:t>2.</w:t>
      </w:r>
      <w:r w:rsidRPr="00F935CA">
        <w:tab/>
        <w:t>Genetic variants associated with increased serum concentrations of plant sterols are also associated with cardiovascular risk</w:t>
      </w:r>
      <w:bookmarkEnd w:id="217"/>
      <w:r w:rsidRPr="002A0924" w:rsidDel="00517412">
        <w:rPr>
          <w:i/>
        </w:rPr>
        <w:t xml:space="preserve"> </w:t>
      </w:r>
    </w:p>
    <w:p w14:paraId="415965D3" w14:textId="77777777" w:rsidR="0051780C" w:rsidRPr="00547FB5" w:rsidRDefault="0051780C" w:rsidP="0051780C">
      <w:pPr>
        <w:rPr>
          <w:lang w:val="en-GB" w:bidi="ar-SA"/>
        </w:rPr>
      </w:pPr>
      <w:r w:rsidRPr="00547FB5">
        <w:rPr>
          <w:lang w:val="en-GB" w:bidi="ar-SA"/>
        </w:rPr>
        <w:t xml:space="preserve">Genetic variants in the ATP binding cassette transporter G5 and G8 (ABCG5/8) and ABO genes are associated with cardiovascular disease. People with these variants have higher serum plant sterol concentrations than other people, but they also have increased cholesterol absorption and in particular, high circulating concentrations of low density lipoprotein (LDL) cholesterol. Thus, the increased risk of cardiovascular disease in people with these genetic variants may be mediated by LDL cholesterol rather than by plant sterols (Silbernagel </w:t>
      </w:r>
      <w:r w:rsidRPr="00547FB5">
        <w:rPr>
          <w:iCs/>
          <w:lang w:val="en-GB" w:bidi="ar-SA"/>
        </w:rPr>
        <w:t>et al.</w:t>
      </w:r>
      <w:r w:rsidRPr="00547FB5">
        <w:rPr>
          <w:lang w:val="en-GB" w:bidi="ar-SA"/>
        </w:rPr>
        <w:t xml:space="preserve"> 2015). </w:t>
      </w:r>
    </w:p>
    <w:p w14:paraId="1DA42E84" w14:textId="77777777" w:rsidR="0051780C" w:rsidRPr="00F935CA" w:rsidRDefault="0051780C" w:rsidP="00B14D36">
      <w:pPr>
        <w:pStyle w:val="Heading3"/>
      </w:pPr>
      <w:bookmarkStart w:id="218" w:name="_Toc477274217"/>
      <w:r w:rsidRPr="00F935CA">
        <w:t>3.</w:t>
      </w:r>
      <w:r w:rsidRPr="00F935CA">
        <w:tab/>
        <w:t>Plant sterol oxidation products (POPs) may pose a risk to consumers of plant sterols</w:t>
      </w:r>
      <w:bookmarkEnd w:id="218"/>
    </w:p>
    <w:p w14:paraId="3E992FC8" w14:textId="77777777" w:rsidR="0051780C" w:rsidRPr="00547FB5" w:rsidRDefault="0051780C" w:rsidP="0051780C">
      <w:pPr>
        <w:pStyle w:val="ListParagraph"/>
        <w:ind w:left="0"/>
        <w:rPr>
          <w:lang w:val="en-GB" w:bidi="ar-SA"/>
        </w:rPr>
      </w:pPr>
      <w:r w:rsidRPr="00547FB5">
        <w:rPr>
          <w:lang w:val="en-GB" w:bidi="ar-SA"/>
        </w:rPr>
        <w:t xml:space="preserve">Plant sterols may become oxidised in food and there is also </w:t>
      </w:r>
      <w:r w:rsidRPr="00547FB5">
        <w:rPr>
          <w:i/>
          <w:lang w:val="en-GB" w:bidi="ar-SA"/>
        </w:rPr>
        <w:t>in vitro</w:t>
      </w:r>
      <w:r w:rsidRPr="00547FB5">
        <w:rPr>
          <w:lang w:val="en-GB" w:bidi="ar-SA"/>
        </w:rPr>
        <w:t xml:space="preserve"> evidence that plant sterols may be oxidised in the body. In common with cholesterol oxidation products (COPs), POPs are cytotoxic in vitro, but are less potent than COPs. It has been suggested that POPs may be atherogenic, however overall the information on potential adverse effects is not sufficient to support robust risk assessment </w:t>
      </w:r>
      <w:r w:rsidRPr="00547FB5">
        <w:rPr>
          <w:lang w:val="en-GB" w:bidi="ar-SA"/>
        </w:rPr>
        <w:fldChar w:fldCharType="begin" w:fldLock="1"/>
      </w:r>
      <w:r w:rsidRPr="00547FB5">
        <w:rPr>
          <w:lang w:val="en-GB" w:bidi="ar-SA"/>
        </w:rPr>
        <w:instrText>ADDIN CSL_CITATION { "citationItems" : [ { "id" : "ITEM-1", "itemData" : { "DOI" : "10.1002/mnfr.201400922", "ISSN" : "16134125", "PMID" : "25787244", "abstract" : "Hypercholesterolemia is an important risk factor for the development of cardiovascular diseases. Dietary intake of phytosterols/phytostanols and their fatty acid esters results in a reduction of the LDL and total plasma cholesterol levels. Therefore, these constituents are added to a broad spectrum of foods. As in the case of cholesterol, thermo-oxidative treatment of phytosterols may result in the formation of phytosterol oxidation products (POPs), i.e. keto-, hydroxy-, and epoxy-derivatives. This review summarizes and evaluates the current knowledge regarding POPs in the light of the potentially increasing dietary exposure to these constituents via the consumption of foods enriched with phytosterols/phytostanols and their esters. Data on the occurrence of POPs and approaches to assess the potential intake of POPs resulting from the consumption of enriched foods are described. The knowledge on the uptake of POPs and the presently available data on the impact of the consumption of enriched foods on the levels of POPs in humans are discussed. Biological effects of POPs, such as potential proatherogenic properties or the loss of the cholesterol-lowering effects compared to nonoxidized phytosterols, are discussed. Finally, knowledge gaps are outlined and recommendations for further research needed for a safety assessment of POPs are presented.", "author" : [ { "dropping-particle" : "", "family" : "Scholz", "given" : "Birgit", "non-dropping-particle" : "", "parse-names" : false, "suffix" : "" }, { "dropping-particle" : "", "family" : "Guth", "given" : "Sabine", "non-dropping-particle" : "", "parse-names" : false, "suffix" : "" }, { "dropping-particle" : "", "family" : "Engel", "given" : "Karl-Heinz", "non-dropping-particle" : "", "parse-names" : false, "suffix" : "" }, { "dropping-particle" : "", "family" : "Steinberg", "given" : "Pablo", "non-dropping-particle" : "", "parse-names" : false, "suffix" : "" } ], "container-title" : "Molecular Nutrition &amp; Food Research", "id" : "ITEM-1", "issue" : "7", "issued" : { "date-parts" : [ [ "2015", "7" ] ] }, "page" : "1339-1352", "title" : "Phytosterol oxidation products in enriched foods: Occurrence, exposure, and biological effects", "type" : "article-journal", "volume" : "59" }, "uris" : [ "http://www.mendeley.com/documents/?uuid=f039d338-70fe-4dd5-8a1f-c80edd05a212" ] } ], "mendeley" : { "formattedCitation" : "(Scholz et al. 2015)", "plainTextFormattedCitation" : "(Scholz et al. 2015)", "previouslyFormattedCitation" : "(Scholz et al. 2015)" }, "properties" : { "noteIndex" : 0 }, "schema" : "https://github.com/citation-style-language/schema/raw/master/csl-citation.json" }</w:instrText>
      </w:r>
      <w:r w:rsidRPr="00547FB5">
        <w:rPr>
          <w:lang w:val="en-GB" w:bidi="ar-SA"/>
        </w:rPr>
        <w:fldChar w:fldCharType="separate"/>
      </w:r>
      <w:r w:rsidRPr="00547FB5">
        <w:rPr>
          <w:noProof/>
          <w:lang w:val="en-GB" w:bidi="ar-SA"/>
        </w:rPr>
        <w:t>(Scholz et al. 2015)</w:t>
      </w:r>
      <w:r w:rsidRPr="00547FB5">
        <w:rPr>
          <w:lang w:val="en-GB" w:bidi="ar-SA"/>
        </w:rPr>
        <w:fldChar w:fldCharType="end"/>
      </w:r>
      <w:r w:rsidRPr="00547FB5">
        <w:rPr>
          <w:lang w:val="en-GB" w:bidi="ar-SA"/>
        </w:rPr>
        <w:t xml:space="preserve">. </w:t>
      </w:r>
    </w:p>
    <w:p w14:paraId="15CADD7B" w14:textId="77777777" w:rsidR="0051780C" w:rsidRPr="00547FB5" w:rsidRDefault="0051780C" w:rsidP="0051780C">
      <w:pPr>
        <w:pStyle w:val="ListParagraph"/>
        <w:ind w:left="0"/>
        <w:rPr>
          <w:lang w:val="en-GB" w:bidi="ar-SA"/>
        </w:rPr>
      </w:pPr>
    </w:p>
    <w:p w14:paraId="229F78A6" w14:textId="5D476481" w:rsidR="0051780C" w:rsidRPr="00FC1AE3" w:rsidRDefault="0051780C" w:rsidP="0051780C">
      <w:pPr>
        <w:pStyle w:val="ListParagraph"/>
        <w:ind w:left="0"/>
        <w:rPr>
          <w:lang w:bidi="ar-SA"/>
        </w:rPr>
      </w:pPr>
      <w:r w:rsidRPr="00547FB5">
        <w:rPr>
          <w:lang w:val="en-GB" w:bidi="ar-SA"/>
        </w:rPr>
        <w:t>The results of a 90-day study in rats identified a NOAEL for POPs of 128 mg/kg/day for males and 144 mg/kg/day for females, although the effects, which were on bodyweight, haematological parameters, some clinical pathology parameters, serum lipids and liver weight, were inconsistent between the sexes</w:t>
      </w:r>
      <w:r w:rsidR="008C091B">
        <w:rPr>
          <w:lang w:val="en-GB" w:bidi="ar-SA"/>
        </w:rPr>
        <w:t xml:space="preserve"> </w:t>
      </w:r>
      <w:r w:rsidR="00525FEA" w:rsidRPr="00547FB5">
        <w:rPr>
          <w:lang w:val="en-GB" w:bidi="ar-SA"/>
        </w:rPr>
        <w:fldChar w:fldCharType="begin" w:fldLock="1"/>
      </w:r>
      <w:r w:rsidR="00525FEA" w:rsidRPr="00547FB5">
        <w:rPr>
          <w:lang w:val="en-GB" w:bidi="ar-SA"/>
        </w:rPr>
        <w:instrText>ADDIN CSL_CITATION { "citationItems" : [ { "id" : "ITEM-1", "itemData" : { "DOI" : "10.1002/mnfr.201400922", "ISSN" : "16134125", "PMID" : "25787244", "abstract" : "Hypercholesterolemia is an important risk factor for the development of cardiovascular diseases. Dietary intake of phytosterols/phytostanols and their fatty acid esters results in a reduction of the LDL and total plasma cholesterol levels. Therefore, these constituents are added to a broad spectrum of foods. As in the case of cholesterol, thermo-oxidative treatment of phytosterols may result in the formation of phytosterol oxidation products (POPs), i.e. keto-, hydroxy-, and epoxy-derivatives. This review summarizes and evaluates the current knowledge regarding POPs in the light of the potentially increasing dietary exposure to these constituents via the consumption of foods enriched with phytosterols/phytostanols and their esters. Data on the occurrence of POPs and approaches to assess the potential intake of POPs resulting from the consumption of enriched foods are described. The knowledge on the uptake of POPs and the presently available data on the impact of the consumption of enriched foods on the levels of POPs in humans are discussed. Biological effects of POPs, such as potential proatherogenic properties or the loss of the cholesterol-lowering effects compared to nonoxidized phytosterols, are discussed. Finally, knowledge gaps are outlined and recommendations for further research needed for a safety assessment of POPs are presented.", "author" : [ { "dropping-particle" : "", "family" : "Scholz", "given" : "Birgit", "non-dropping-particle" : "", "parse-names" : false, "suffix" : "" }, { "dropping-particle" : "", "family" : "Guth", "given" : "Sabine", "non-dropping-particle" : "", "parse-names" : false, "suffix" : "" }, { "dropping-particle" : "", "family" : "Engel", "given" : "Karl-Heinz", "non-dropping-particle" : "", "parse-names" : false, "suffix" : "" }, { "dropping-particle" : "", "family" : "Steinberg", "given" : "Pablo", "non-dropping-particle" : "", "parse-names" : false, "suffix" : "" } ], "container-title" : "Molecular Nutrition &amp; Food Research", "id" : "ITEM-1", "issue" : "7", "issued" : { "date-parts" : [ [ "2015", "7" ] ] }, "page" : "1339-1352", "title" : "Phytosterol oxidation products in enriched foods: Occurrence, exposure, and biological effects", "type" : "article-journal", "volume" : "59" }, "uris" : [ "http://www.mendeley.com/documents/?uuid=f039d338-70fe-4dd5-8a1f-c80edd05a212" ] } ], "mendeley" : { "formattedCitation" : "(Scholz et al. 2015)", "plainTextFormattedCitation" : "(Scholz et al. 2015)", "previouslyFormattedCitation" : "(Scholz et al. 2015)" }, "properties" : { "noteIndex" : 0 }, "schema" : "https://github.com/citation-style-language/schema/raw/master/csl-citation.json" }</w:instrText>
      </w:r>
      <w:r w:rsidR="00525FEA" w:rsidRPr="00547FB5">
        <w:rPr>
          <w:lang w:val="en-GB" w:bidi="ar-SA"/>
        </w:rPr>
        <w:fldChar w:fldCharType="separate"/>
      </w:r>
      <w:r w:rsidR="00525FEA" w:rsidRPr="00547FB5">
        <w:rPr>
          <w:noProof/>
          <w:lang w:val="en-GB" w:bidi="ar-SA"/>
        </w:rPr>
        <w:t>(Scholz et al. 2015)</w:t>
      </w:r>
      <w:r w:rsidR="00525FEA" w:rsidRPr="00547FB5">
        <w:rPr>
          <w:lang w:val="en-GB" w:bidi="ar-SA"/>
        </w:rPr>
        <w:fldChar w:fldCharType="end"/>
      </w:r>
      <w:r w:rsidR="00525FEA" w:rsidRPr="00547FB5">
        <w:rPr>
          <w:lang w:val="en-GB" w:bidi="ar-SA"/>
        </w:rPr>
        <w:t>.</w:t>
      </w:r>
      <w:r w:rsidRPr="00547FB5">
        <w:rPr>
          <w:lang w:val="en-GB" w:bidi="ar-SA"/>
        </w:rPr>
        <w:t xml:space="preserve"> </w:t>
      </w:r>
    </w:p>
    <w:p w14:paraId="5AE43E49" w14:textId="77777777" w:rsidR="0051780C" w:rsidRPr="00547FB5" w:rsidRDefault="0051780C" w:rsidP="0051780C">
      <w:pPr>
        <w:pStyle w:val="ListParagraph"/>
        <w:ind w:left="0"/>
        <w:rPr>
          <w:lang w:val="en-GB" w:bidi="ar-SA"/>
        </w:rPr>
      </w:pPr>
    </w:p>
    <w:p w14:paraId="01366964" w14:textId="77777777" w:rsidR="0051780C" w:rsidRPr="00547FB5" w:rsidRDefault="0051780C" w:rsidP="0051780C">
      <w:pPr>
        <w:pStyle w:val="ListParagraph"/>
        <w:ind w:left="0"/>
        <w:rPr>
          <w:lang w:val="en-GB" w:bidi="ar-SA"/>
        </w:rPr>
      </w:pPr>
      <w:r w:rsidRPr="00547FB5">
        <w:rPr>
          <w:lang w:val="en-GB" w:bidi="ar-SA"/>
        </w:rPr>
        <w:t xml:space="preserve">Baumgartner </w:t>
      </w:r>
      <w:r w:rsidRPr="00547FB5">
        <w:rPr>
          <w:iCs/>
          <w:lang w:val="en-GB" w:bidi="ar-SA"/>
        </w:rPr>
        <w:t>et al.</w:t>
      </w:r>
      <w:r w:rsidRPr="00547FB5">
        <w:rPr>
          <w:lang w:val="en-GB" w:bidi="ar-SA"/>
        </w:rPr>
        <w:t xml:space="preserve"> </w:t>
      </w:r>
      <w:r w:rsidRPr="00547FB5">
        <w:rPr>
          <w:lang w:val="en-GB" w:bidi="ar-SA"/>
        </w:rPr>
        <w:fldChar w:fldCharType="begin" w:fldLock="1"/>
      </w:r>
      <w:r w:rsidRPr="00547FB5">
        <w:rPr>
          <w:lang w:val="en-GB" w:bidi="ar-SA"/>
        </w:rPr>
        <w:instrText>ADDIN CSL_CITATION { "citationItems" : [ { "id" : "ITEM-1", "itemData" : { "DOI" : "10.1016/j.atherosclerosis.2013.01.012", "ISSN" : "00219150", "PMID" : "23375753", "abstract" : "Background: Consumption of plant sterols and plant stanols reduces low-density lipoprotein cholesterol (LDL-C) concentrations. At the same time, plasma plant sterol concentrations will increase after plant sterol consumption, but decrease after plant stanol consumption. In contrast to plant stanols, plant sterols can undergo oxidation and form oxyphytosterols. Findings from in vitro and animal studies suggest that oxyphytosterols might be atherogenic. Objective: The objective was to examine whether plant sterol and stanol consumption changes fasting plasma oxyphytosterol concentrations. Design: A randomized, double blind, cross-over study was performed in which 43 healthy subjects (18-70 years) consumed for 4 weeks a plant sterol-enriched (3.0 g/d of plant sterols), a plant stanol-enriched (3.0 g/d of plant stanols), and a control margarine separated by wash-out periods of 4 weeks. Oxyphytosterol concentrations were determined in BHT-enriched plasma via GC-MS. Results: Compared to control, serum LDL-C concentrations were reduced after plant sterol (-8.1%; p &lt; 0.001) and plant stanol consumption (-7.8%; p &lt; 0.001). Plant sterol consumption did not change plasma oxyphytosterol concentrations. On the other hand, intake of the plant stanol margarine reduced 7\u03b2-OH-campesterol by 0.07 ng/mL (\u223c14%; p &lt; 0.01) and by 0.07 ng/mL (\u223c15%; p &lt; 0.01) compared with the control and sterol margarines, respectively. When standardized for serum cholesterol, effects on these oxyphytosterols were comparable. In addition, plant stanol intake reduced cholesterol-standardized 7-keto-campesterol levels compared with plant sterol intake (p &lt; 0.05). Conclusions: Daily consumption of a plant sterol-enriched margarine does not increase oxyphytosterol concentrations, while plant stanol consumption may reduce the concentrations of the oxidative plant sterol metabolites 7\u03b2-OH-campesterol and 7-keto-campesterol. This trial is registered at clinicaltrials.gov as NCT01559428. \u00a9 2013 Elsevier Ireland Ltd.", "author" : [ { "dropping-particle" : "", "family" : "Baumgartner", "given" : "Sabine", "non-dropping-particle" : "", "parse-names" : false, "suffix" : "" }, { "dropping-particle" : "", "family" : "Mensink", "given" : "Ronald P.", "non-dropping-particle" : "", "parse-names" : false, "suffix" : "" }, { "dropping-particle" : "", "family" : "Husche", "given" : "Constanze", "non-dropping-particle" : "", "parse-names" : false, "suffix" : "" }, { "dropping-particle" : "", "family" : "L\u00fctjohann", "given" : "Dieter", "non-dropping-particle" : "", "parse-names" : false, "suffix" : "" }, { "dropping-particle" : "", "family" : "Plat", "given" : "Jogchum", "non-dropping-particle" : "", "parse-names" : false, "suffix" : "" } ], "container-title" : "Atherosclerosis", "id" : "ITEM-1", "issue" : "2", "issued" : { "date-parts" : [ [ "2013", "4" ] ] }, "page" : "414-419", "title" : "Effects of plant sterol- or stanol-enriched margarine on fasting plasma oxyphytosterol concentrations in healthy subjects", "type" : "article-journal", "volume" : "227" }, "suppress-author" : 1, "uris" : [ "http://www.mendeley.com/documents/?uuid=40472f11-9def-47a6-922b-910f7e94159e" ] } ], "mendeley" : { "formattedCitation" : "(2013)", "plainTextFormattedCitation" : "(2013)", "previouslyFormattedCitation" : "(2013)" }, "properties" : { "noteIndex" : 0 }, "schema" : "https://github.com/citation-style-language/schema/raw/master/csl-citation.json" }</w:instrText>
      </w:r>
      <w:r w:rsidRPr="00547FB5">
        <w:rPr>
          <w:lang w:val="en-GB" w:bidi="ar-SA"/>
        </w:rPr>
        <w:fldChar w:fldCharType="separate"/>
      </w:r>
      <w:r w:rsidRPr="00547FB5">
        <w:rPr>
          <w:noProof/>
          <w:lang w:val="en-GB" w:bidi="ar-SA"/>
        </w:rPr>
        <w:t>(2013)</w:t>
      </w:r>
      <w:r w:rsidRPr="00547FB5">
        <w:rPr>
          <w:lang w:val="en-GB" w:bidi="ar-SA"/>
        </w:rPr>
        <w:fldChar w:fldCharType="end"/>
      </w:r>
      <w:r w:rsidRPr="00547FB5">
        <w:rPr>
          <w:lang w:val="en-GB" w:bidi="ar-SA"/>
        </w:rPr>
        <w:t xml:space="preserve"> conducted a randomised double-blind crossover trial in which 43 healthy subjects, ranging in age from 18 to 70 years, consumed margarines with or without enrichment (3.0 g/day) with phytosterols or phytostanols for 4 weeks, separated by wash-out periods of 4 weeks. No increases in plasma POPs as a result of consumption of enriched margarines were found by GC-MS.</w:t>
      </w:r>
    </w:p>
    <w:p w14:paraId="1F75BFE7" w14:textId="06830E1B" w:rsidR="0051780C" w:rsidRPr="00F935CA" w:rsidRDefault="0051780C" w:rsidP="00B14D36">
      <w:pPr>
        <w:pStyle w:val="Heading3"/>
      </w:pPr>
      <w:bookmarkStart w:id="219" w:name="_Toc477274218"/>
      <w:r w:rsidRPr="00F935CA">
        <w:t>4.</w:t>
      </w:r>
      <w:r w:rsidRPr="00F935CA">
        <w:tab/>
        <w:t>No intervention studies have been performed to show that clinically relevant cardiovascular endpoints may be reduced</w:t>
      </w:r>
      <w:bookmarkEnd w:id="219"/>
    </w:p>
    <w:p w14:paraId="15028558" w14:textId="77777777" w:rsidR="00724D8F" w:rsidRDefault="0051780C" w:rsidP="00724D8F">
      <w:pPr>
        <w:ind w:right="-286"/>
        <w:rPr>
          <w:lang w:val="en-GB" w:bidi="ar-SA"/>
        </w:rPr>
      </w:pPr>
      <w:r w:rsidRPr="00547FB5">
        <w:rPr>
          <w:lang w:val="en-GB" w:bidi="ar-SA"/>
        </w:rPr>
        <w:t xml:space="preserve">This concern relates to efficacy rather than hazard and is therefore not relevant to this hazard assessment. However, Silbernagel </w:t>
      </w:r>
      <w:r w:rsidRPr="00547FB5">
        <w:rPr>
          <w:iCs/>
          <w:lang w:val="en-GB" w:bidi="ar-SA"/>
        </w:rPr>
        <w:t xml:space="preserve">et al. </w:t>
      </w:r>
      <w:r w:rsidRPr="00547FB5">
        <w:rPr>
          <w:iCs/>
          <w:lang w:val="en-GB" w:bidi="ar-SA"/>
        </w:rPr>
        <w:fldChar w:fldCharType="begin" w:fldLock="1"/>
      </w:r>
      <w:r w:rsidRPr="00547FB5">
        <w:rPr>
          <w:iCs/>
          <w:lang w:val="en-GB" w:bidi="ar-SA"/>
        </w:rPr>
        <w:instrText>ADDIN CSL_CITATION { "citationItems" : [ { "id" : "ITEM-1", "itemData" : { "DOI" : "10.5740/jaoacint.SGESilbernagel", "ISSN" : "1060-3271", "PMID" : "25942652", "abstract" : "Plant sterols and stanols as components of functional foods are widely used for cholesterol lowering. The regular intake of these functional foods is associated with a decrease in low density lipoprotein cholesterol of about 10 % and an increase in plasma plant sterol or stanol concentrations by about a factor of 2. There is no doubt that a decrease in low density lipoprotein cholesterol is beneficial to cardiovascular health. However, due to the concomitant increase in circulating plant sterols safety issues associated with the intake of plant sterol containing functional foods have been raised. Herein, we will review and evaluate those arguments raised against the use of plant sterols and stanols.", "author" : [ { "dropping-particle" : "", "family" : "Silbernagel", "given" : "Guenther", "non-dropping-particle" : "", "parse-names" : false, "suffix" : "" }, { "dropping-particle" : "", "family" : "Baumgartner", "given" : "Iris", "non-dropping-particle" : "", "parse-names" : false, "suffix" : "" }, { "dropping-particle" : "", "family" : "M\u00e4rz", "given" : "Winfried", "non-dropping-particle" : "", "parse-names" : false, "suffix" : "" } ], "container-title" : "Journal of AOAC International", "id" : "ITEM-1", "issue" : "3", "issued" : { "date-parts" : [ [ "2015", "1" ] ] }, "page" : "739-741", "title" : "Cardiovascular Safety of Plant Sterol and Stanol Consumption.", "type" : "article-journal", "volume" : "98" }, "suppress-author" : 1, "uris" : [ "http://www.mendeley.com/documents/?uuid=9414a0fe-a1c3-4513-ac4f-b2b6a947a5b9" ] } ], "mendeley" : { "formattedCitation" : "(2015)", "plainTextFormattedCitation" : "(2015)", "previouslyFormattedCitation" : "(2015)" }, "properties" : { "noteIndex" : 0 }, "schema" : "https://github.com/citation-style-language/schema/raw/master/csl-citation.json" }</w:instrText>
      </w:r>
      <w:r w:rsidRPr="00547FB5">
        <w:rPr>
          <w:iCs/>
          <w:lang w:val="en-GB" w:bidi="ar-SA"/>
        </w:rPr>
        <w:fldChar w:fldCharType="separate"/>
      </w:r>
      <w:r w:rsidRPr="00547FB5">
        <w:rPr>
          <w:iCs/>
          <w:noProof/>
          <w:lang w:val="en-GB" w:bidi="ar-SA"/>
        </w:rPr>
        <w:t>(2015)</w:t>
      </w:r>
      <w:r w:rsidRPr="00547FB5">
        <w:rPr>
          <w:iCs/>
          <w:lang w:val="en-GB" w:bidi="ar-SA"/>
        </w:rPr>
        <w:fldChar w:fldCharType="end"/>
      </w:r>
      <w:r w:rsidRPr="00547FB5">
        <w:rPr>
          <w:lang w:val="en-GB" w:bidi="ar-SA"/>
        </w:rPr>
        <w:t xml:space="preserve"> suggest that a randomised controlled study to test whether regular dietary exposure to plant sterol-containing foods will reduce clinically relevant cardiovascular endpoints, would be extremely difficult and expensive to conduct. </w:t>
      </w:r>
      <w:r w:rsidR="00724D8F">
        <w:rPr>
          <w:lang w:val="en-GB" w:bidi="ar-SA"/>
        </w:rPr>
        <w:br w:type="page"/>
      </w:r>
    </w:p>
    <w:p w14:paraId="034FB898" w14:textId="3DA24374" w:rsidR="0051780C" w:rsidRPr="00547FB5" w:rsidRDefault="0051780C" w:rsidP="00724D8F">
      <w:pPr>
        <w:ind w:right="-286"/>
        <w:rPr>
          <w:lang w:val="en-GB" w:bidi="ar-SA"/>
        </w:rPr>
      </w:pPr>
      <w:r w:rsidRPr="00547FB5">
        <w:rPr>
          <w:lang w:val="en-GB" w:bidi="ar-SA"/>
        </w:rPr>
        <w:lastRenderedPageBreak/>
        <w:t>They calculate that it may be necessary to have around 33,000 participants, and to follow them for approximately 10 years.</w:t>
      </w:r>
    </w:p>
    <w:p w14:paraId="24695CA0" w14:textId="77777777" w:rsidR="0051780C" w:rsidRPr="00F935CA" w:rsidRDefault="0051780C" w:rsidP="00B14D36">
      <w:pPr>
        <w:pStyle w:val="Heading3"/>
      </w:pPr>
      <w:bookmarkStart w:id="220" w:name="_Toc477274219"/>
      <w:r w:rsidRPr="00F935CA">
        <w:t>5.</w:t>
      </w:r>
      <w:r w:rsidRPr="00F935CA">
        <w:tab/>
        <w:t>Patients with phytosterolaemia (sitosterolaemia) may develop early onset atherosclerosis</w:t>
      </w:r>
      <w:bookmarkEnd w:id="220"/>
    </w:p>
    <w:p w14:paraId="79132733" w14:textId="77777777" w:rsidR="0051780C" w:rsidRPr="00F935CA" w:rsidRDefault="0051780C" w:rsidP="0051780C">
      <w:pPr>
        <w:pStyle w:val="Heading5"/>
        <w:ind w:left="0" w:firstLine="0"/>
        <w:rPr>
          <w:i w:val="0"/>
        </w:rPr>
      </w:pPr>
      <w:r w:rsidRPr="00F935CA">
        <w:rPr>
          <w:i w:val="0"/>
        </w:rPr>
        <w:t xml:space="preserve">Phytosterolaemia, or sitosterolaemia, is a rare inherited disorder. Findings include elevated serum plant sterol concentrations, xanthomas and the early onset of atherosclerosis. Patients have increased absorption and decreased excretion of plant sterols. The discovery of this disease led to speculation that plant sterols themselves may be atherogenic in normal individuals, if chronically consumed </w:t>
      </w:r>
      <w:r w:rsidRPr="00F935CA">
        <w:rPr>
          <w:i w:val="0"/>
        </w:rPr>
        <w:fldChar w:fldCharType="begin" w:fldLock="1"/>
      </w:r>
      <w:r w:rsidRPr="00F935CA">
        <w:rPr>
          <w:i w:val="0"/>
        </w:rPr>
        <w:instrText>ADDIN CSL_CITATION { "citationItems" : [ { "id" : "ITEM-1", "itemData" : { "DOI" : "10.1016/j.bbrc.2014.01.147", "ISBN" : "0006-291X", "ISSN" : "0006291X", "PMID" : "24491560", "abstract" : "Plant sterols are supplemented in foods to reduce cardiovascular risk. Randomized controlled trials show 2 g of plant sterols a day reduce serum cholesterol by about 10%. This reduction in serum cholesterol levels is achieved at the expense of increased serum plant sterol levels. Findings in patients with phytosterolemia, in experimental studies and in clinical trials have lead to speculations that plant sterols might be atherogenic. In view of emerging safety issues the role of plant sterols in cardiovascular prevention has become controversial. This review reflects the ongoing controversial scientific debate and points out recent developments in guidelines of national and international societies. ?? 2014 Published by Elsevier Inc.", "author" : [ { "dropping-particle" : "", "family" : "Weing\u00e4rtner", "given" : "Oliver", "non-dropping-particle" : "", "parse-names" : false, "suffix" : "" }, { "dropping-particle" : "", "family" : "Baber", "given" : "Ronny", "non-dropping-particle" : "", "parse-names" : false, "suffix" : "" }, { "dropping-particle" : "", "family" : "Teupser", "given" : "Daniel", "non-dropping-particle" : "", "parse-names" : false, "suffix" : "" } ], "container-title" : "Biochemical and Biophysical Research Communications", "id" : "ITEM-1", "issue" : "3", "issued" : { "date-parts" : [ [ "2014", "4" ] ] }, "page" : "811-813", "title" : "Plant sterols in food: No consensus in guidelines", "type" : "article-journal", "volume" : "446" }, "uris" : [ "http://www.mendeley.com/documents/?uuid=4a162b0a-6d41-4989-9e6d-07dcaff29bc3" ] } ], "mendeley" : { "formattedCitation" : "(Weing\u00e4rtner et al. 2014)", "plainTextFormattedCitation" : "(Weing\u00e4rtner et al. 2014)", "previouslyFormattedCitation" : "(Weing\u00e4rtner et al. 2014)" }, "properties" : { "noteIndex" : 0 }, "schema" : "https://github.com/citation-style-language/schema/raw/master/csl-citation.json" }</w:instrText>
      </w:r>
      <w:r w:rsidRPr="00F935CA">
        <w:rPr>
          <w:i w:val="0"/>
        </w:rPr>
        <w:fldChar w:fldCharType="separate"/>
      </w:r>
      <w:r w:rsidRPr="00F935CA">
        <w:rPr>
          <w:i w:val="0"/>
          <w:noProof/>
        </w:rPr>
        <w:t>(Weingärtner et al. 2014)</w:t>
      </w:r>
      <w:r w:rsidRPr="00F935CA">
        <w:rPr>
          <w:i w:val="0"/>
        </w:rPr>
        <w:fldChar w:fldCharType="end"/>
      </w:r>
      <w:r w:rsidRPr="00F935CA">
        <w:rPr>
          <w:i w:val="0"/>
        </w:rPr>
        <w:t xml:space="preserve">. </w:t>
      </w:r>
    </w:p>
    <w:p w14:paraId="6ED3CA25" w14:textId="77777777" w:rsidR="0051780C" w:rsidRPr="00F935CA" w:rsidRDefault="0051780C" w:rsidP="0051780C">
      <w:pPr>
        <w:pStyle w:val="Heading5"/>
        <w:ind w:left="0" w:firstLine="0"/>
        <w:rPr>
          <w:i w:val="0"/>
        </w:rPr>
      </w:pPr>
      <w:r w:rsidRPr="00F935CA">
        <w:rPr>
          <w:i w:val="0"/>
        </w:rPr>
        <w:t xml:space="preserve">However, serum plant sterol concentrations in individuals with phytosterolaemia are approximately 30 times higher than those of frequent users of plant sterol-containing foods. In addition, patients often also have high plasma concentration of LDL cholesterol, which may be the main risk factor for early atherosclerosis in these patients </w:t>
      </w:r>
      <w:r w:rsidRPr="00F935CA">
        <w:rPr>
          <w:i w:val="0"/>
        </w:rPr>
        <w:fldChar w:fldCharType="begin" w:fldLock="1"/>
      </w:r>
      <w:r w:rsidRPr="00F935CA">
        <w:rPr>
          <w:i w:val="0"/>
        </w:rPr>
        <w:instrText>ADDIN CSL_CITATION { "citationItems" : [ { "id" : "ITEM-1", "itemData" : { "DOI" : "10.5740/jaoacint.SGESilbernagel", "ISSN" : "1060-3271", "PMID" : "25942652", "abstract" : "Plant sterols and stanols as components of functional foods are widely used for cholesterol lowering. The regular intake of these functional foods is associated with a decrease in low density lipoprotein cholesterol of about 10 % and an increase in plasma plant sterol or stanol concentrations by about a factor of 2. There is no doubt that a decrease in low density lipoprotein cholesterol is beneficial to cardiovascular health. However, due to the concomitant increase in circulating plant sterols safety issues associated with the intake of plant sterol containing functional foods have been raised. Herein, we will review and evaluate those arguments raised against the use of plant sterols and stanols.", "author" : [ { "dropping-particle" : "", "family" : "Silbernagel", "given" : "Guenther", "non-dropping-particle" : "", "parse-names" : false, "suffix" : "" }, { "dropping-particle" : "", "family" : "Baumgartner", "given" : "Iris", "non-dropping-particle" : "", "parse-names" : false, "suffix" : "" }, { "dropping-particle" : "", "family" : "M\u00e4rz", "given" : "Winfried", "non-dropping-particle" : "", "parse-names" : false, "suffix" : "" } ], "container-title" : "Journal of AOAC International", "id" : "ITEM-1", "issue" : "3", "issued" : { "date-parts" : [ [ "2015", "1" ] ] }, "page" : "739-741", "title" : "Cardiovascular Safety of Plant Sterol and Stanol Consumption.", "type" : "article-journal", "volume" : "98" }, "uris" : [ "http://www.mendeley.com/documents/?uuid=9414a0fe-a1c3-4513-ac4f-b2b6a947a5b9" ] } ], "mendeley" : { "formattedCitation" : "(Silbernagel et al. 2015)", "plainTextFormattedCitation" : "(Silbernagel et al. 2015)", "previouslyFormattedCitation" : "(Silbernagel et al. 2015)" }, "properties" : { "noteIndex" : 0 }, "schema" : "https://github.com/citation-style-language/schema/raw/master/csl-citation.json" }</w:instrText>
      </w:r>
      <w:r w:rsidRPr="00F935CA">
        <w:rPr>
          <w:i w:val="0"/>
        </w:rPr>
        <w:fldChar w:fldCharType="separate"/>
      </w:r>
      <w:r w:rsidRPr="00F935CA">
        <w:rPr>
          <w:i w:val="0"/>
          <w:noProof/>
        </w:rPr>
        <w:t>(Silbernagel et al. 2015)</w:t>
      </w:r>
      <w:r w:rsidRPr="00F935CA">
        <w:rPr>
          <w:i w:val="0"/>
        </w:rPr>
        <w:fldChar w:fldCharType="end"/>
      </w:r>
      <w:r w:rsidRPr="00F935CA">
        <w:rPr>
          <w:i w:val="0"/>
        </w:rPr>
        <w:t>.</w:t>
      </w:r>
    </w:p>
    <w:p w14:paraId="4DFEE434" w14:textId="77777777" w:rsidR="0051780C" w:rsidRPr="00F935CA" w:rsidRDefault="0051780C" w:rsidP="0051780C">
      <w:pPr>
        <w:pStyle w:val="Heading5"/>
        <w:ind w:left="0" w:firstLine="0"/>
        <w:rPr>
          <w:i w:val="0"/>
        </w:rPr>
      </w:pPr>
      <w:r w:rsidRPr="00F935CA">
        <w:rPr>
          <w:i w:val="0"/>
        </w:rPr>
        <w:t xml:space="preserve">Overall, there is a lack of convincing evidence that the premature atherosclerosis observed in congenital phytosterolaemia is relevant to an assessment of the likelihood that plants sterols are atherogenic in the general population. </w:t>
      </w:r>
    </w:p>
    <w:p w14:paraId="468574FC" w14:textId="77777777" w:rsidR="0051780C" w:rsidRPr="00547FB5" w:rsidRDefault="0051780C" w:rsidP="0051780C">
      <w:pPr>
        <w:pStyle w:val="ListParagraph"/>
        <w:ind w:left="0"/>
        <w:rPr>
          <w:i/>
          <w:lang w:val="en-GB" w:bidi="ar-SA"/>
        </w:rPr>
      </w:pPr>
      <w:r w:rsidRPr="00547FB5">
        <w:rPr>
          <w:lang w:val="en-GB" w:bidi="ar-SA"/>
        </w:rPr>
        <w:t>The specific risk to this susceptible subpopulation can be addressed by appropriate risk management measures.</w:t>
      </w:r>
    </w:p>
    <w:p w14:paraId="08E5B613" w14:textId="52320226" w:rsidR="0051780C" w:rsidRPr="00694025" w:rsidRDefault="0051780C" w:rsidP="00B14D36">
      <w:pPr>
        <w:pStyle w:val="Heading3"/>
        <w:rPr>
          <w:rStyle w:val="Heading5Char"/>
          <w:i w:val="0"/>
        </w:rPr>
      </w:pPr>
      <w:bookmarkStart w:id="221" w:name="_Toc477274220"/>
      <w:r w:rsidRPr="002A0924">
        <w:t>6.</w:t>
      </w:r>
      <w:r w:rsidRPr="002A0924">
        <w:tab/>
      </w:r>
      <w:r w:rsidRPr="00694025">
        <w:rPr>
          <w:rStyle w:val="Heading5Char"/>
          <w:i w:val="0"/>
        </w:rPr>
        <w:t>Plant sterol supplementation may result in decreased circulating levels of carotenoids, which might in turn lead to a higher incidence of certain cancers and of macular degeneration</w:t>
      </w:r>
      <w:bookmarkEnd w:id="221"/>
    </w:p>
    <w:p w14:paraId="6F86B82A" w14:textId="77777777" w:rsidR="0051780C" w:rsidRPr="00547FB5" w:rsidRDefault="0051780C" w:rsidP="0051780C">
      <w:pPr>
        <w:rPr>
          <w:lang w:val="en-GB" w:bidi="ar-SA"/>
        </w:rPr>
      </w:pPr>
      <w:r w:rsidRPr="00547FB5">
        <w:rPr>
          <w:lang w:val="en-GB" w:bidi="ar-SA"/>
        </w:rPr>
        <w:t xml:space="preserve">Mannarino </w:t>
      </w:r>
      <w:r w:rsidRPr="00547FB5">
        <w:rPr>
          <w:iCs/>
          <w:lang w:val="en-GB" w:bidi="ar-SA"/>
        </w:rPr>
        <w:t>et al.</w:t>
      </w:r>
      <w:r w:rsidRPr="00547FB5">
        <w:rPr>
          <w:lang w:val="en-GB" w:bidi="ar-SA"/>
        </w:rPr>
        <w:t xml:space="preserve"> </w:t>
      </w:r>
      <w:r w:rsidRPr="00547FB5">
        <w:rPr>
          <w:lang w:val="en-GB" w:bidi="ar-SA"/>
        </w:rPr>
        <w:fldChar w:fldCharType="begin" w:fldLock="1"/>
      </w:r>
      <w:r w:rsidRPr="00547FB5">
        <w:rPr>
          <w:lang w:val="en-GB" w:bidi="ar-SA"/>
        </w:rPr>
        <w:instrText>ADDIN CSL_CITATION { "citationItems" : [ { "id" : "ITEM-1", "itemData" : { "DOI" : "10.1016/j.ejim.2014.06.008", "ISBN" : "0953-6205", "ISSN" : "09536205", "PMID" : "24997485", "abstract" : "Hypercholesterolemia is a well-established modifiable cardiovascular risk factor and its treatment is an essential aim in preventing cardiovascular disease. Current guidelines highlight lifestyle intervention as a primary issue in the treatment of the patient with hypercholesterolemia. Therapeutic lifestyle changes are often insufficient to achieve desirable cholesterol levels. This is particularly true for high risk patients; however, also low risk patients, whose cholesterol levels are not necessarily far from recommended targets, have either sub-optimal or even significantly increased lipid levels. Nutraceuticals are borderline devices between nutrients and drugs providing a supplementation of particular nutrients with beneficial effects on health. Several nutraceuticals have been suggested to improve plasma lipid profile. The literature counted over 40 nutraceutical substances with a supposed beneficial effect on lipid metabolism; for some of them a number of clinical trials highlighted a cholesterol lowering effect and a possible positive influence on cardiovascular prognosis. The aim of this article is to review the main evidences supporting or denying the efficacy and safety of some of the most commonly used nutraceuticals with supposed cholesterol lowering activity. \u00a9 2014 European Federation of Internal Medicine.", "author" : [ { "dropping-particle" : "", "family" : "Mannarino", "given" : "Massimo R.", "non-dropping-particle" : "", "parse-names" : false, "suffix" : "" }, { "dropping-particle" : "", "family" : "Ministrini", "given" : "Stefano", "non-dropping-particle" : "", "parse-names" : false, "suffix" : "" }, { "dropping-particle" : "", "family" : "Pirro", "given" : "Matteo", "non-dropping-particle" : "", "parse-names" : false, "suffix" : "" } ], "container-title" : "European Journal of Internal Medicine", "id" : "ITEM-1", "issue" : "7", "issued" : { "date-parts" : [ [ "2014", "9" ] ] }, "page" : "592-599", "title" : "Nutraceuticals for the treatment of hypercholesterolemia", "type" : "article-journal", "volume" : "25" }, "suppress-author" : 1, "uris" : [ "http://www.mendeley.com/documents/?uuid=e42fffc2-1cd8-451c-8bc7-a93634857eb9" ] } ], "mendeley" : { "formattedCitation" : "(2014)", "plainTextFormattedCitation" : "(2014)", "previouslyFormattedCitation" : "(2014)" }, "properties" : { "noteIndex" : 0 }, "schema" : "https://github.com/citation-style-language/schema/raw/master/csl-citation.json" }</w:instrText>
      </w:r>
      <w:r w:rsidRPr="00547FB5">
        <w:rPr>
          <w:lang w:val="en-GB" w:bidi="ar-SA"/>
        </w:rPr>
        <w:fldChar w:fldCharType="separate"/>
      </w:r>
      <w:r w:rsidRPr="00547FB5">
        <w:rPr>
          <w:noProof/>
          <w:lang w:val="en-GB" w:bidi="ar-SA"/>
        </w:rPr>
        <w:t>(2014)</w:t>
      </w:r>
      <w:r w:rsidRPr="00547FB5">
        <w:rPr>
          <w:lang w:val="en-GB" w:bidi="ar-SA"/>
        </w:rPr>
        <w:fldChar w:fldCharType="end"/>
      </w:r>
      <w:r w:rsidRPr="00547FB5">
        <w:rPr>
          <w:lang w:val="en-GB" w:bidi="ar-SA"/>
        </w:rPr>
        <w:t xml:space="preserve"> reported that there is no evidence of increased incidence of cancer or of macular degeneration associated with consumption of plant sterol-enriched foods. </w:t>
      </w:r>
    </w:p>
    <w:p w14:paraId="1E54051E" w14:textId="77777777" w:rsidR="0051780C" w:rsidRPr="00F935CA" w:rsidRDefault="0051780C" w:rsidP="00B14D36">
      <w:pPr>
        <w:pStyle w:val="Heading2"/>
        <w:numPr>
          <w:ilvl w:val="1"/>
          <w:numId w:val="32"/>
        </w:numPr>
      </w:pPr>
      <w:bookmarkStart w:id="222" w:name="_Toc464569635"/>
      <w:bookmarkStart w:id="223" w:name="_Toc466903389"/>
      <w:bookmarkStart w:id="224" w:name="_Toc466909054"/>
      <w:bookmarkStart w:id="225" w:name="_Toc466986170"/>
      <w:bookmarkStart w:id="226" w:name="_Toc466986223"/>
      <w:bookmarkStart w:id="227" w:name="_Toc467052889"/>
      <w:bookmarkStart w:id="228" w:name="_Toc467064041"/>
      <w:bookmarkStart w:id="229" w:name="_Toc467064488"/>
      <w:bookmarkStart w:id="230" w:name="_Toc467077495"/>
      <w:bookmarkStart w:id="231" w:name="_Toc477274221"/>
      <w:r w:rsidRPr="00F935CA">
        <w:t>Conclusions</w:t>
      </w:r>
      <w:bookmarkEnd w:id="222"/>
      <w:bookmarkEnd w:id="223"/>
      <w:bookmarkEnd w:id="224"/>
      <w:bookmarkEnd w:id="225"/>
      <w:bookmarkEnd w:id="226"/>
      <w:bookmarkEnd w:id="227"/>
      <w:bookmarkEnd w:id="228"/>
      <w:bookmarkEnd w:id="229"/>
      <w:bookmarkEnd w:id="230"/>
      <w:bookmarkEnd w:id="231"/>
    </w:p>
    <w:p w14:paraId="18550BEB" w14:textId="77777777" w:rsidR="0051780C" w:rsidRPr="00547FB5" w:rsidRDefault="0051780C" w:rsidP="0051780C">
      <w:pPr>
        <w:rPr>
          <w:lang w:val="en-GB" w:bidi="ar-SA"/>
        </w:rPr>
      </w:pPr>
      <w:r w:rsidRPr="00547FB5">
        <w:rPr>
          <w:lang w:val="en-GB" w:bidi="ar-SA"/>
        </w:rPr>
        <w:t xml:space="preserve">Some concerns have been raised in the scientific literature about potential risks associated with chronic consumption of plant sterols-enriched foods. While some epidemiological studies have found a positive association between moderate elevation of plasma plant sterol concentrations and increased cardiovascular risk, other studies have found an inverse association or no association. </w:t>
      </w:r>
    </w:p>
    <w:p w14:paraId="11B6FCCF" w14:textId="77777777" w:rsidR="0051780C" w:rsidRPr="00547FB5" w:rsidRDefault="0051780C" w:rsidP="0051780C">
      <w:pPr>
        <w:rPr>
          <w:lang w:val="en-GB" w:bidi="ar-SA"/>
        </w:rPr>
      </w:pPr>
    </w:p>
    <w:p w14:paraId="340D3AC9" w14:textId="77777777" w:rsidR="0051780C" w:rsidRPr="00547FB5" w:rsidRDefault="0051780C" w:rsidP="0051780C">
      <w:pPr>
        <w:rPr>
          <w:lang w:val="en-GB" w:bidi="ar-SA"/>
        </w:rPr>
      </w:pPr>
      <w:r w:rsidRPr="00547FB5">
        <w:rPr>
          <w:lang w:val="en-GB" w:bidi="ar-SA"/>
        </w:rPr>
        <w:t xml:space="preserve">There is currently no robust evidence to support concerns that the oxidation products of dietary plant sterols pose a risk to consumers or that any such risk outweighs the cholesterol-lowering benefits of dietary plant sterol consumption. Similarly, there is no evidence that plant sterol supplementation leads to adverse outcomes through the mechanism of decreasing circulating amounts of carotenoids. </w:t>
      </w:r>
    </w:p>
    <w:p w14:paraId="7A950396" w14:textId="77777777" w:rsidR="0051780C" w:rsidRPr="00547FB5" w:rsidRDefault="0051780C" w:rsidP="0051780C">
      <w:pPr>
        <w:rPr>
          <w:lang w:val="en-GB" w:bidi="ar-SA"/>
        </w:rPr>
      </w:pPr>
    </w:p>
    <w:p w14:paraId="41B79823" w14:textId="77777777" w:rsidR="0051780C" w:rsidRPr="00547FB5" w:rsidRDefault="0051780C" w:rsidP="0051780C">
      <w:pPr>
        <w:rPr>
          <w:lang w:val="en-GB" w:bidi="ar-SA"/>
        </w:rPr>
      </w:pPr>
      <w:r w:rsidRPr="00547FB5">
        <w:rPr>
          <w:lang w:val="en-GB" w:bidi="ar-SA"/>
        </w:rPr>
        <w:t>While elevations in serum plant sterol concentrations in individuals with certain genetic variants in the ATP binding cassette transporter G5 and G8 (ABCG5/8) or ABO genes show a correlation with risk of cardiovascular disease, these individuals also have increased cholesterol absorption and in particular, high serum concentrations of LDL cholesterol. High serum LDL cholesterol is a well-recognised marker of increased cardiovascular risk.</w:t>
      </w:r>
    </w:p>
    <w:p w14:paraId="3B54604A" w14:textId="77777777" w:rsidR="0051780C" w:rsidRPr="00547FB5" w:rsidRDefault="0051780C" w:rsidP="0051780C">
      <w:pPr>
        <w:rPr>
          <w:lang w:val="en-GB" w:bidi="ar-SA"/>
        </w:rPr>
      </w:pPr>
    </w:p>
    <w:p w14:paraId="5D94CA67" w14:textId="77777777" w:rsidR="00724D8F" w:rsidRDefault="0051780C" w:rsidP="0051780C">
      <w:pPr>
        <w:rPr>
          <w:lang w:val="en-GB" w:bidi="ar-SA"/>
        </w:rPr>
      </w:pPr>
      <w:r w:rsidRPr="00547FB5">
        <w:rPr>
          <w:lang w:val="en-GB" w:bidi="ar-SA"/>
        </w:rPr>
        <w:t>FSANZ has previously stated that safety data</w:t>
      </w:r>
      <w:r w:rsidRPr="00547FB5">
        <w:rPr>
          <w:lang w:val="en-GB"/>
        </w:rPr>
        <w:t xml:space="preserve"> </w:t>
      </w:r>
      <w:r w:rsidRPr="00547FB5">
        <w:rPr>
          <w:lang w:val="en-GB" w:bidi="ar-SA"/>
        </w:rPr>
        <w:t xml:space="preserve">for pregnant women, lactating women, and children under </w:t>
      </w:r>
      <w:r w:rsidR="00B35D0A">
        <w:rPr>
          <w:lang w:val="en-GB" w:bidi="ar-SA"/>
        </w:rPr>
        <w:t>five</w:t>
      </w:r>
      <w:r w:rsidRPr="00547FB5">
        <w:rPr>
          <w:lang w:val="en-GB" w:bidi="ar-SA"/>
        </w:rPr>
        <w:t xml:space="preserve"> years of age is relatively limited compared to the extensive data available for the target population. </w:t>
      </w:r>
      <w:r w:rsidR="00724D8F">
        <w:rPr>
          <w:lang w:val="en-GB" w:bidi="ar-SA"/>
        </w:rPr>
        <w:br w:type="page"/>
      </w:r>
    </w:p>
    <w:p w14:paraId="2EFECE1A" w14:textId="7F182D74" w:rsidR="0051780C" w:rsidRPr="00547FB5" w:rsidRDefault="0051780C" w:rsidP="0051780C">
      <w:pPr>
        <w:rPr>
          <w:lang w:val="en-GB" w:bidi="ar-SA"/>
        </w:rPr>
      </w:pPr>
      <w:r w:rsidRPr="00547FB5">
        <w:rPr>
          <w:lang w:val="en-GB" w:bidi="ar-SA"/>
        </w:rPr>
        <w:lastRenderedPageBreak/>
        <w:t xml:space="preserve">However, based on knowledge of the mechanisms of phytosterol action, the now extensive experience of use of phytosterol-enriched foods in the general population and the absence of effects in pregnant animals and their offspring, there was no basis for postulating a risk to these population subgroups </w:t>
      </w:r>
      <w:r w:rsidRPr="00547FB5">
        <w:rPr>
          <w:lang w:val="en-GB" w:bidi="ar-SA"/>
        </w:rPr>
        <w:fldChar w:fldCharType="begin" w:fldLock="1"/>
      </w:r>
      <w:r w:rsidRPr="00547FB5">
        <w:rPr>
          <w:lang w:val="en-GB" w:bidi="ar-SA"/>
        </w:rPr>
        <w:instrText>ADDIN CSL_CITATION { "citationItems" : [ { "id" : "ITEM-1", "itemData" : { "author" : [ { "dropping-particle" : "", "family" : "FSANZ", "given" : "", "non-dropping-particle" : "", "parse-names" : false, "suffix" : "" } ], "id" : "ITEM-1", "issued" : { "date-parts" : [ [ "2012" ] ] }, "number-of-pages" : "21", "publisher-place" : "Canberra", "title" : "Approval Report \u2013 Application A1070. Packaging Size for Phytosterol-enriched Lower Fat Cheese", "type" : "report" }, "uris" : [ "http://www.mendeley.com/documents/?uuid=b165f998-b978-459b-9c6f-f2b59388c344" ] } ], "mendeley" : { "formattedCitation" : "(FSANZ 2012a)", "plainTextFormattedCitation" : "(FSANZ 2012a)", "previouslyFormattedCitation" : "(FSANZ 2012a)" }, "properties" : { "noteIndex" : 0 }, "schema" : "https://github.com/citation-style-language/schema/raw/master/csl-citation.json" }</w:instrText>
      </w:r>
      <w:r w:rsidRPr="00547FB5">
        <w:rPr>
          <w:lang w:val="en-GB" w:bidi="ar-SA"/>
        </w:rPr>
        <w:fldChar w:fldCharType="separate"/>
      </w:r>
      <w:r w:rsidRPr="00547FB5">
        <w:rPr>
          <w:noProof/>
          <w:lang w:val="en-GB" w:bidi="ar-SA"/>
        </w:rPr>
        <w:t>(FSANZ 2012a)</w:t>
      </w:r>
      <w:r w:rsidRPr="00547FB5">
        <w:rPr>
          <w:lang w:val="en-GB" w:bidi="ar-SA"/>
        </w:rPr>
        <w:fldChar w:fldCharType="end"/>
      </w:r>
      <w:r w:rsidRPr="00547FB5">
        <w:rPr>
          <w:lang w:val="en-GB" w:bidi="ar-SA"/>
        </w:rPr>
        <w:t xml:space="preserve">. No new data was identified that would change this conclusion. </w:t>
      </w:r>
    </w:p>
    <w:p w14:paraId="00357F69" w14:textId="77777777" w:rsidR="0051780C" w:rsidRPr="00547FB5" w:rsidRDefault="0051780C" w:rsidP="0051780C">
      <w:pPr>
        <w:rPr>
          <w:lang w:val="en-GB" w:bidi="ar-SA"/>
        </w:rPr>
      </w:pPr>
    </w:p>
    <w:p w14:paraId="1F6588F5" w14:textId="77777777" w:rsidR="0051780C" w:rsidRPr="00547FB5" w:rsidRDefault="0051780C" w:rsidP="0051780C">
      <w:pPr>
        <w:rPr>
          <w:lang w:val="en-GB" w:bidi="ar-SA"/>
        </w:rPr>
      </w:pPr>
      <w:r w:rsidRPr="00547FB5">
        <w:rPr>
          <w:lang w:val="en-GB"/>
        </w:rPr>
        <w:t>Occasional consumption of plant sterol-enriched breakfast cereal by young children or pregnant or lactating women is therefore not considered to be of toxicological concern.</w:t>
      </w:r>
      <w:r w:rsidRPr="00547FB5">
        <w:rPr>
          <w:lang w:val="en-GB" w:bidi="ar-SA"/>
        </w:rPr>
        <w:t xml:space="preserve"> </w:t>
      </w:r>
    </w:p>
    <w:p w14:paraId="1543E01F" w14:textId="77777777" w:rsidR="0051780C" w:rsidRPr="00547FB5" w:rsidRDefault="0051780C" w:rsidP="0051780C">
      <w:pPr>
        <w:rPr>
          <w:lang w:val="en-GB" w:eastAsia="en-AU" w:bidi="ar-SA"/>
        </w:rPr>
      </w:pPr>
      <w:bookmarkStart w:id="232" w:name="_Toc415041900"/>
    </w:p>
    <w:p w14:paraId="67F9C134" w14:textId="77777777" w:rsidR="0051780C" w:rsidRPr="00E10D8F" w:rsidRDefault="0051780C" w:rsidP="00997D23">
      <w:pPr>
        <w:pStyle w:val="Heading1"/>
      </w:pPr>
      <w:bookmarkStart w:id="233" w:name="_Toc463507651"/>
      <w:bookmarkStart w:id="234" w:name="_Toc463881792"/>
      <w:bookmarkStart w:id="235" w:name="_Toc464569647"/>
      <w:bookmarkStart w:id="236" w:name="_Toc466903390"/>
      <w:bookmarkStart w:id="237" w:name="_Toc466909055"/>
      <w:bookmarkStart w:id="238" w:name="_Toc466986171"/>
      <w:bookmarkStart w:id="239" w:name="_Toc466986224"/>
      <w:bookmarkStart w:id="240" w:name="_Toc467052890"/>
      <w:bookmarkStart w:id="241" w:name="_Toc467064042"/>
      <w:bookmarkStart w:id="242" w:name="_Toc467064489"/>
      <w:bookmarkStart w:id="243" w:name="_Toc467077496"/>
      <w:bookmarkStart w:id="244" w:name="_Toc477274222"/>
      <w:r w:rsidRPr="00552334">
        <w:t>4</w:t>
      </w:r>
      <w:r w:rsidRPr="00552334">
        <w:tab/>
        <w:t>Nutrition assessment</w:t>
      </w:r>
      <w:bookmarkStart w:id="245" w:name="_Toc415041935"/>
      <w:bookmarkEnd w:id="232"/>
      <w:bookmarkEnd w:id="233"/>
      <w:bookmarkEnd w:id="234"/>
      <w:bookmarkEnd w:id="235"/>
      <w:bookmarkEnd w:id="236"/>
      <w:bookmarkEnd w:id="237"/>
      <w:bookmarkEnd w:id="238"/>
      <w:bookmarkEnd w:id="239"/>
      <w:bookmarkEnd w:id="240"/>
      <w:bookmarkEnd w:id="241"/>
      <w:bookmarkEnd w:id="242"/>
      <w:bookmarkEnd w:id="243"/>
      <w:bookmarkEnd w:id="244"/>
    </w:p>
    <w:p w14:paraId="7375CDB7" w14:textId="77777777" w:rsidR="0051780C" w:rsidRPr="00547FB5" w:rsidRDefault="0051780C" w:rsidP="0051780C">
      <w:pPr>
        <w:rPr>
          <w:lang w:val="en-GB"/>
        </w:rPr>
      </w:pPr>
      <w:r w:rsidRPr="00547FB5">
        <w:rPr>
          <w:lang w:val="en-GB"/>
        </w:rPr>
        <w:t xml:space="preserve">FSANZ concluded in previous assessments that a reduction in the absorption of </w:t>
      </w:r>
      <w:r w:rsidRPr="00547FB5">
        <w:rPr>
          <w:rFonts w:cs="Arial"/>
          <w:szCs w:val="22"/>
          <w:lang w:val="en-GB"/>
        </w:rPr>
        <w:sym w:font="Symbol" w:char="F062"/>
      </w:r>
      <w:r w:rsidRPr="00547FB5">
        <w:rPr>
          <w:lang w:val="en-GB"/>
        </w:rPr>
        <w:t>-carotene with consumption of plant sterols is expected, however this was considered to have no nutritional safety</w:t>
      </w:r>
      <w:r w:rsidRPr="00547FB5" w:rsidDel="00F30834">
        <w:rPr>
          <w:lang w:val="en-GB"/>
        </w:rPr>
        <w:t xml:space="preserve"> </w:t>
      </w:r>
      <w:r w:rsidRPr="00547FB5">
        <w:rPr>
          <w:lang w:val="en-GB"/>
        </w:rPr>
        <w:t xml:space="preserve">implications </w:t>
      </w:r>
      <w:r w:rsidRPr="00547FB5">
        <w:rPr>
          <w:lang w:val="en-GB"/>
        </w:rPr>
        <w:fldChar w:fldCharType="begin" w:fldLock="1"/>
      </w:r>
      <w:r w:rsidRPr="00547FB5">
        <w:rPr>
          <w:lang w:val="en-GB"/>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"id" : "ITEM-2", "itemData" : { "author" : [ { "dropping-particle" : "", "family" : "FSANZ", "given" : "", "non-dropping-particle" : "", "parse-names" : false, "suffix" : "" } ], "id" : "ITEM-2", "issued" : { "date-parts" : [ [ "2012" ] ] }, "number-of-pages" : "13", "publisher-place" : "Canberra", "title" : "Supporting document 1 - Risk assessment report. Application A1065 - Packaging Size for Phytosterol-enriched Milk", "type" : "report" }, "uris" : [ "http://www.mendeley.com/documents/?uuid=5fecb9c4-cff4-452a-93e3-93441258c6ec" ] }, { "id" : "ITEM-3", "itemData" : { "author" : [ { "dropping-particle" : "", "family" : "FSANZ", "given" : "", "non-dropping-particle" : "", "parse-names" : false, "suffix" : "" } ], "id" : "ITEM-3", "issued" : { "date-parts" : [ [ "2012" ] ] }, "number-of-pages" : "21", "publisher-place" : "Canberra", "title" : "Approval Report \u2013 Application A1070. Packaging Size for Phytosterol-enriched Lower Fat Cheese", "type" : "report" }, "uris" : [ "http://www.mendeley.com/documents/?uuid=b165f998-b978-459b-9c6f-f2b59388c344" ] } ], "mendeley" : { "formattedCitation" : "(FSANZ 2010b; FSANZ 2012a; FSANZ 2012b)", "plainTextFormattedCitation" : "(FSANZ 2010b; FSANZ 2012a; FSANZ 2012b)", "previouslyFormattedCitation" : "(FSANZ 2010b; FSANZ 2012a; FSANZ 2012b)" }, "properties" : { "noteIndex" : 0 }, "schema" : "https://github.com/citation-style-language/schema/raw/master/csl-citation.json" }</w:instrText>
      </w:r>
      <w:r w:rsidRPr="00547FB5">
        <w:rPr>
          <w:lang w:val="en-GB"/>
        </w:rPr>
        <w:fldChar w:fldCharType="separate"/>
      </w:r>
      <w:r w:rsidRPr="00547FB5">
        <w:rPr>
          <w:noProof/>
          <w:lang w:val="en-GB"/>
        </w:rPr>
        <w:t>(FSANZ 2010b; FSANZ 2012a; FSANZ 2012b)</w:t>
      </w:r>
      <w:r w:rsidRPr="00547FB5">
        <w:rPr>
          <w:lang w:val="en-GB"/>
        </w:rPr>
        <w:fldChar w:fldCharType="end"/>
      </w:r>
      <w:r w:rsidRPr="00547FB5">
        <w:rPr>
          <w:lang w:val="en-GB"/>
        </w:rPr>
        <w:t xml:space="preserve">. </w:t>
      </w:r>
    </w:p>
    <w:p w14:paraId="0961DFEB" w14:textId="77777777" w:rsidR="0051780C" w:rsidRPr="00547FB5" w:rsidRDefault="0051780C" w:rsidP="0051780C">
      <w:pPr>
        <w:rPr>
          <w:lang w:val="en-GB"/>
        </w:rPr>
      </w:pPr>
    </w:p>
    <w:p w14:paraId="0AD7E635" w14:textId="1B955E34" w:rsidR="0051780C" w:rsidRPr="00547FB5" w:rsidRDefault="0051780C" w:rsidP="0038105B">
      <w:pPr>
        <w:rPr>
          <w:lang w:val="en-GB"/>
        </w:rPr>
      </w:pPr>
      <w:r w:rsidRPr="00547FB5">
        <w:rPr>
          <w:lang w:val="en-GB"/>
        </w:rPr>
        <w:t>Despite plant sterols and cholesterol having similar chemical structures, they differ markedly in their biosynthesis, intestinal absorption and metaboli</w:t>
      </w:r>
      <w:r w:rsidR="00D23B4F">
        <w:rPr>
          <w:lang w:val="en-GB"/>
        </w:rPr>
        <w:t>sm</w:t>
      </w:r>
      <w:r w:rsidRPr="00547FB5">
        <w:rPr>
          <w:lang w:val="en-GB"/>
        </w:rPr>
        <w:t xml:space="preserve"> </w:t>
      </w:r>
      <w:r w:rsidRPr="00547FB5">
        <w:rPr>
          <w:lang w:val="en-GB"/>
        </w:rPr>
        <w:fldChar w:fldCharType="begin" w:fldLock="1"/>
      </w:r>
      <w:r w:rsidRPr="00547FB5">
        <w:rPr>
          <w:lang w:val="en-GB"/>
        </w:rPr>
        <w:instrText>ADDIN CSL_CITATION { "citationItems" : [ { "id" : "ITEM-1", "itemData" : { "DOI" : "10.1016/S0002-9343(99)00285-5", "ISBN" : "0002-9343", "ISSN" : "00029343", "PMID" : "10625028", "abstract" : "Although plant sterols (phytosterols) and cholesterol have similar chemical structures, they differ markedly in their synthesis, intestinal absorption, and metabolic fate. Phytosterols inhibit intestinal cholesterol absorption, thereby lowering plasma total and low-density lipoprotein (LDL) cholesterol levels. In 16 recently published human studies that used phytosterols to reduce plasma cholesterol levels in a total of 590 subjects, phytosterol therapy was accompanied by an average 10% reduction in total cholesterol and 13% reduction in LDL cholesterol levels. Phytosterols may also affect other aspects of cholesterol metabolism that contribute to their antiatherogenic properties, and may interfere with steroid hormone synthesis. The clinical and biochemical features of hereditary sitosterolemia, as well as its treatment, are reviewed, and the effects of cholestyramine treatment in 12 sitosterolemic subjects are summarized. Finally, new ideas for future research into the role of phytosterols in health and disease are discussed. Copyright (C) 1999 Excerpta Medica Inc.", "author" : [ { "dropping-particle" : "", "family" : "Moghadasian", "given" : "Mohammed H.", "non-dropping-particle" : "", "parse-names" : false, "suffix" : "" }, { "dropping-particle" : "", "family" : "Frohlich", "given" : "Jiri J.", "non-dropping-particle" : "", "parse-names" : false, "suffix" : "" } ], "container-title" : "American Journal of Medicine", "id" : "ITEM-1", "issue" : "6", "issued" : { "date-parts" : [ [ "1999", "12" ] ] }, "page" : "588-594", "title" : "Effects of dietary phytosterols on cholesterol metabolism and atherosclerosis: clinical and experimental evidence", "type" : "article-journal", "volume" : "107" }, "uris" : [ "http://www.mendeley.com/documents/?uuid=959e6f59-9391-4eb3-81ae-3b649fa94b15" ] }, { "id" : "ITEM-2", "itemData" : { "DOI" : "10.1016/S0163-7827(02)00006-1", "ISBN" : "0163-7827", "ISSN" : "01637827", "PMID" : "12169300", "abstract" : "Phytosterols (plant sterols) are triterpenes that are important structural components of plant membranes, and free phytosterols serve to stabilize phospholipid bilayers in plant cell membranes just as cholesterol does in animal cell membranes. Most phytosterols contain 28 or 29 carbons and one or two carbon-carbon double bonds, typically one in the sterol nucleus and sometimes a second in the alkyl side chain. Phytostanols are a fully-saturated subgroup of phytosterols (contain no double bonds). Phytostanols occur in trace levels in many plant species and they occur in high levels in tissues of only in a few cereal species. Phytosterols can be converted to phytostanols by chemical hydrogenation. More than 200 different types of phytosterols have been reported in plant species. In addition to the free form, phytosterols occur as four types of \"conjugates,\" in which the 3\u03b2-OH group is esterified to a fatty acid or a hydroxycinnamic acid, or glycosylated with a hexose (usually glucose) or a 6-fatty-acyl hexose. The most popular methods for phytosterol analysis involve hydrolysis of the esters (and sometimes the glycosides) and capillary GLC of the total phytosterols, either in the free form or as TMS or acetylated derivatives. Several alternative methods have been reported for analysis of free phytosterols and intact phytosteryl conjugates. Phytosterols and phytostanols have received much attention in the last five years because of their cholesterol-lowering properties. Early phytosterol-enriched products contained free phytosterols and relatively large dosages were required to significantly lower serum cholesterol. In the last several years two spreads, one containing phytostanyl fatty-acid esters and the other phytosteryl fatty-acid esters, have been commercialized and were shown to significantly lower serum cholesterol at dosages of 1-3 g per day. The popularity of these products has caused the medical and biochemical community to focus much attention on phytosterols and consequently research activity on phytosterols has increased dramatically.", "author" : [ { "dropping-particle" : "", "family" : "Moreau", "given" : "Robert A.", "non-dropping-particle" : "", "parse-names" : false, "suffix" : "" }, { "dropping-particle" : "", "family" : "Whitaker", "given" : "Bruce D.", "non-dropping-particle" : "", "parse-names" : false, "suffix" : "" }, { "dropping-particle" : "", "family" : "Hicks", "given" : "Kevin B.", "non-dropping-particle" : "", "parse-names" : false, "suffix" : "" } ], "container-title" : "Progress in Lipid Research", "id" : "ITEM-2", "issue" : "6", "issued" : { "date-parts" : [ [ "2002", "11" ] ] }, "page" : "457-500", "title" : "Phytosterols, phytostanols, and their conjugates in foods: structural diversity, quantitative analysis, and health-promoting uses", "type" : "article-journal", "volume" : "41" }, "uris" : [ "http://www.mendeley.com/documents/?uuid=86939a43-d473-4862-b98e-694213761bde" ] }, { "id" : "ITEM-3", "itemData" : { "DOI" : "10.1002/mnfr.201500586", "ISSN" : "16134125", "PMID" : "26773424", "abstract" : "Scope : The ability of different plant sterols/stanols (PS) mixts., which differed in the degree of B-ring satn. and aliph. side chain structure and satn., to reduce cholesterol (CH) micellarization was explored. Methods and results : Expts. were performed using an in vitro digestion model, synthetic mixed micelles, and pure porcine pancreatic lipases. Sterols were measured by GC-FID. The ability of PS to reduce CH micellarization was dependent on the form of PS and on the type of delivery matrix (low-fat yogurt or olive oil). Long-chain PS esters delivered in the yogurt matrix, and medium chain PS esters delivered in olive oil provided the greatest redn. in CH micellarization. In yogurt, the ability to impair CH micellarization was inversely related (rho = -0.41, p &lt; 0.0005) to PS m.p. In olive oil, the more hydrophobic PS mixts., i.e. those rich in long-chain PS esters, had the lower ability to impair CH micellarization. Conclusions : Different forms of PS have a different ability to impair CH micellarization. This ability depends on the transfer efficiency of PS from the food matrix to the micelle, which in turn depends on the m.p. and the hydrophobicity of PS and on the delivery food matrix. [on SciFinder(R)]", "author" : [ { "dropping-particle" : "", "family" : "Gleize", "given" : "B\u00e9atrice", "non-dropping-particle" : "", "parse-names" : false, "suffix" : "" }, { "dropping-particle" : "", "family" : "Nowicki", "given" : "Marion", "non-dropping-particle" : "", "parse-names" : false, "suffix" : "" }, { "dropping-particle" : "", "family" : "Daval", "given" : "Christophe", "non-dropping-particle" : "", "parse-names" : false, "suffix" : "" }, { "dropping-particle" : "", "family" : "Koutnikova", "given" : "Hana", "non-dropping-particle" : "", "parse-names" : false, "suffix" : "" }, { "dropping-particle" : "", "family" : "Borel", "given" : "Patrick", "non-dropping-particle" : "", "parse-names" : false, "suffix" : "" } ], "container-title" : "Molecular Nutrition &amp; Food Research", "id" : "ITEM-3", "issue" : "4", "issued" : { "date-parts" : [ [ "2016", "4" ] ] }, "page" : "749-759", "title" : "Form of phytosterols and food matrix in which they are incorporated modulate their incorporation into mixed micelles and impact cholesterol micellarization", "type" : "article-journal", "volume" : "60" }, "uris" : [ "http://www.mendeley.com/documents/?uuid=cb3d5681-1e15-42df-b6e9-fe2a8806a96e" ] } ], "mendeley" : { "formattedCitation" : "(Moghadasian and Frohlich 1999; Moreau et al. 2002; Gleize et al. 2016)", "plainTextFormattedCitation" : "(Moghadasian and Frohlich 1999; Moreau et al. 2002; Gleize et al. 2016)", "previouslyFormattedCitation" : "(Moghadasian and Frohlich 1999; Moreau et al. 2002; Gleize et al. 2016)" }, "properties" : { "noteIndex" : 0 }, "schema" : "https://github.com/citation-style-language/schema/raw/master/csl-citation.json" }</w:instrText>
      </w:r>
      <w:r w:rsidRPr="00547FB5">
        <w:rPr>
          <w:lang w:val="en-GB"/>
        </w:rPr>
        <w:fldChar w:fldCharType="separate"/>
      </w:r>
      <w:r w:rsidRPr="00547FB5">
        <w:rPr>
          <w:noProof/>
          <w:lang w:val="en-GB"/>
        </w:rPr>
        <w:t>(Moghadasian and Frohlich 1999; Moreau et al. 2002; Gleize et al. 2016)</w:t>
      </w:r>
      <w:r w:rsidRPr="00547FB5">
        <w:rPr>
          <w:lang w:val="en-GB"/>
        </w:rPr>
        <w:fldChar w:fldCharType="end"/>
      </w:r>
      <w:r w:rsidRPr="00547FB5">
        <w:rPr>
          <w:lang w:val="en-GB"/>
        </w:rPr>
        <w:t>. The hypocholesterol</w:t>
      </w:r>
      <w:r w:rsidR="005B1303">
        <w:rPr>
          <w:lang w:val="en-GB"/>
        </w:rPr>
        <w:t>a</w:t>
      </w:r>
      <w:r w:rsidRPr="00547FB5">
        <w:rPr>
          <w:lang w:val="en-GB"/>
        </w:rPr>
        <w:t>emic</w:t>
      </w:r>
      <w:r w:rsidRPr="00547FB5" w:rsidDel="00F30834">
        <w:rPr>
          <w:lang w:val="en-GB"/>
        </w:rPr>
        <w:t xml:space="preserve"> </w:t>
      </w:r>
      <w:r w:rsidRPr="00547FB5">
        <w:rPr>
          <w:lang w:val="en-GB"/>
        </w:rPr>
        <w:t xml:space="preserve">effect of plant sterols has been consistently confirmed through human clinical studies </w:t>
      </w:r>
      <w:r w:rsidRPr="00547FB5">
        <w:rPr>
          <w:lang w:val="en-GB"/>
        </w:rPr>
        <w:fldChar w:fldCharType="begin" w:fldLock="1"/>
      </w:r>
      <w:r w:rsidRPr="00547FB5">
        <w:rPr>
          <w:lang w:val="en-GB"/>
        </w:rPr>
        <w:instrText>ADDIN CSL_CITATION { "citationItems" : [ { "id" : "ITEM-1", "itemData" : { "ISBN" : "0002-9165", "ISSN" : "00029165", "PMID" : "15941886", "abstract" : "BACKGROUND: Because of hyperglycemia and hyperinsulinemia, diabetic persons have higher cholesterol synthesis and lower cholesterol absorption rates than do nondiabetic persons. Differences in plant sterol efficacy between diabetic and nondiabetic persons have not been examined.\\n\\nOBJECTIVE: The objective was to compare the degree of response of plasma lipid concentrations and glycemic control to plant sterol consumption in a controlled diet between hypercholesterolemic type 2 diabetic and nondiabetic subjects.\\n\\nDESIGN: Fifteen nondiabetic subjects and 14 diabetic subjects participated in a double-blinded, randomized, crossover, placebo-controlled feeding trial. The diet included 1.8 g/d of either plant sterols or cornstarch placebo over 21 d, separated by a 28-d washout period.\\n\\nRESULTS: Plant sterol consumption significantly reduced (P &lt; 0.05) LDL-cholesterol concentrations from baseline in both nondiabetic and diabetic subjects by 15.1% and 26.8%, respectively. The diabetic subjects had significantly (P &lt; 0.05) lower absolute concentrations of total cholesterol after treatment than did the nondiabetic subjects; however, there was no significant difference in the percentage change from the beginning to the end of the trial. There was also a significant decrease (P &lt; 0.05) in absolute non-HDL-cholesterol concentrations after treatment in both groups.\\n\\nCONCLUSIONS: The results showed that plant sterols are efficacious in lowering LDL cholesterol and non-HDL cholesterol in both diabetic and nondiabetic persons. Plant sterol consumption may exist as a dietary management strategy for hypercholesterolemia in persons with type 2 diabetes.", "author" : [ { "dropping-particle" : "", "family" : "Lau", "given" : "Vivian W Y", "non-dropping-particle" : "", "parse-names" : false, "suffix" : "" }, { "dropping-particle" : "", "family" : "Journoud", "given" : "M??lanie", "non-dropping-particle" : "", "parse-names" : false, "suffix" : "" }, { "dropping-particle" : "", "family" : "Jones", "given" : "Peter J H", "non-dropping-particle" : "", "parse-names" : false, "suffix" : "" } ], "container-title" : "American Journal of Clinical Nutrition", "id" : "ITEM-1", "issue" : "6", "issued" : { "date-parts" : [ [ "2005" ] ] }, "page" : "1351-1358", "title" : "Plant sterols are efficacious in lowering plasma LDL and non-HDL cholesterol in hypercholesterolemic type 2 diabetic and nondiabetic persons", "type" : "paper-conference", "volume" : "81" }, "uris" : [ "http://www.mendeley.com/documents/?uuid=c99e81d0-8688-40ed-b331-2f9a891920dc" ] }, { "id" : "ITEM-2", "itemData" : { "DOI" : "10.1016/j.jnutbio.2009.07.001", "ISBN" : "1873-4847", "ISSN" : "09552863", "PMID" : "19889524", "abstract" : "A healthy diet and plant sterols (PS) are recommended for reducing low-density lipoprotein (LDL) cholesterol and, subsequently, the risk of premature cardiovascular disease. PS mediate a decrease in fat-soluble vitamin concentration, which can lead to a general impairment of antioxidative defenses and an increase in oxidative stress. Thus, we evaluated the effects of a healthy diet, including PS-enriched low-fat milk, on cardiovascular risk and oxidative stress parameters in hypercholesterolemic subjects.This was a randomized parallel trial employing 40 subjects and consisting of two 3-month intervention phases. After 3 months on a standard healthy diet, subjects were divided into two intervention groups: a diet group and a diet+PS group (2 g/day). Lipid profile, apolipoproteins, high-sensitivity C-reactive protein and oxidative stress parameters were analyzed. Diet significantly reduced total and LDL cholesterol (4.0% and 4.7%, respectively), produced an increase in the level of \u03b2-carotene (23%) and improved the antioxidant capacity of LDL cholesterol particles (4.6%). PS induced a significant decrease in total cholesterol (6.4%), LDL (9.9%) and the apolipoprotein B100/apolipoprotein A1 ratio (4.9%), but led to a decrease in cryptoxanthin level (29%) without any change being observed in the antioxidant capacity of LDL cholesterol particles, total antioxidant status or lipid peroxidation. After 3 months, we observed the positive effect of including a PS supplement in dietary measures, as the lipoprotein-mediated risk of cardiovascular disease was reduced. Despite a decrease in the concentration of cryptoxanthin, no evidence of a global impairment of antioxidative defenses or an enhancement of oxidative stress parameters was found. \u00a9 2010 Elsevier Inc.", "author" : [ { "dropping-particle" : "", "family" : "Ba\u00f1uls", "given" : "Celia", "non-dropping-particle" : "", "parse-names" : false, "suffix" : "" }, { "dropping-particle" : "", "family" : "Mart\u00ednez-Triguero", "given" : "Mar\u00eda L.", "non-dropping-particle" : "", "parse-names" : false, "suffix" : "" }, { "dropping-particle" : "", "family" : "L\u00f3pez-Ruiz", "given" : "Antonio", "non-dropping-particle" : "", "parse-names" : false, "suffix" : "" }, { "dropping-particle" : "", "family" : "Morillas", "given" : "Carlos", "non-dropping-particle" : "", "parse-names" : false, "suffix" : "" }, { "dropping-particle" : "", "family" : "Lacomba", "given" : "Ramon", "non-dropping-particle" : "", "parse-names" : false, "suffix" : "" }, { "dropping-particle" : "", "family" : "V\u00edctor", "given" : "V\u00edctor M.", "non-dropping-particle" : "", "parse-names" : false, "suffix" : "" }, { "dropping-particle" : "", "family" : "Rocha", "given" : "Milagros", "non-dropping-particle" : "", "parse-names" : false, "suffix" : "" }, { "dropping-particle" : "", "family" : "Hern\u00e1ndez-Mijares", "given" : "Antonio", "non-dropping-particle" : "", "parse-names" : false, "suffix" : "" } ], "container-title" : "Journal of Nutritional Biochemistry", "id" : "ITEM-2", "issue" : "9", "issued" : { "date-parts" : [ [ "2010", "9" ] ] }, "page" : "881-886", "title" : "Evaluation of cardiovascular risk and oxidative stress parameters in hypercholesterolemic subjects on a standard healthy diet including low-fat milk enriched with plant sterols", "type" : "article-journal", "volume" : "21" }, "uris" : [ "http://www.mendeley.com/documents/?uuid=4b34887b-b1ab-467b-ac9f-36c1c86e2b0e" ] }, { "id" : "ITEM-3", "itemData" : { "ISBN" : "0002-9165 (Print)\\r0002-9165 (Linking)", "ISSN" : "00029165", "PMID" : "15213045", "abstract" : "BACKGROUND: Plant sterols reduce cholesterol absorption, which leads to a decrease in plasma and LDL-cholesterol concentrations. Plant sterols also lower plasma concentrations of carotenoids and alpha-tocopherol, but the mechanism of action is not yet understood. OBJECTIVES: The aims of this clinical study were to determine whether plant sterols affect the bioavailability of beta-carotene and alpha-tocopherol in normocholesterolemic men and to compare the effects of plant sterol esters and plant free sterols on cholesterol absorption. DESIGN: Twenty-six normocholesterolemic men completed the double-blind, randomized, crossover study. Subjects consumed daily, for 1 wk, each of the following 3 supplements: a low-fat milk-based beverage alone (control) or the same beverage supplemented with 2.2 g plant sterol equivalents provided as either free sterols or sterol esters. During this 1-wk supplementation period, subjects consumed a standardized diet. RESULTS: Both of the milks enriched with plant sterols induced a similar (60%) decrease in cholesterol absorption. Plant free sterols and plant sterol esters reduced the bioavailability of beta-carotene by approximately 50% and that of alpha-tocopherol by approximately 20%. The reduction in beta-carotene bioavailability was significantly less with plant free sterols than with plant sterol esters. At the limit of significance (P = 0.054) in the area under the curve, the reduction in alpha-tocopherol bioavailability was also less with plant free sterols than with plant sterol esters. CONCLUSIONS: Both plant sterols reduced beta-carotene and alpha-tocopherol bioavailability and cholesterol absorption in normocholesterolemic men. However, plant sterol esters reduced the bioavailability of beta-carotene and alpha-tocopherol more than did plant free sterols.", "author" : [ { "dropping-particle" : "", "family" : "Richelle", "given" : "Myriam", "non-dropping-particle" : "", "parse-names" : false, "suffix" : "" }, { "dropping-particle" : "", "family" : "Enslen", "given" : "Marc", "non-dropping-particle" : "", "parse-names" : false, "suffix" : "" }, { "dropping-particle" : "", "family" : "Hager", "given" : "Corinne", "non-dropping-particle" : "", "parse-names" : false, "suffix" : "" }, { "dropping-particle" : "", "family" : "Groux", "given" : "Michel", "non-dropping-particle" : "", "parse-names" : false, "suffix" : "" }, { "dropping-particle" : "", "family" : "Tavazzi", "given" : "Isabelle", "non-dropping-particle" : "", "parse-names" : false, "suffix" : "" }, { "dropping-particle" : "", "family" : "Godin", "given" : "Jean Philippe", "non-dropping-particle" : "", "parse-names" : false, "suffix" : "" }, { "dropping-particle" : "", "family" : "Berger", "given" : "Alvin", "non-dropping-particle" : "", "parse-names" : false, "suffix" : "" }, { "dropping-particle" : "", "family" : "M\u00e9tairon", "given" : "Sylviane", "non-dropping-particle" : "", "parse-names" : false, "suffix" : "" }, { "dropping-particle" : "", "family" : "Quaile", "given" : "Sylvie", "non-dropping-particle" : "", "parse-names" : false, "suffix" : "" }, { "dropping-particle" : "", "family" : "Piguet-Welsch", "given" : "Christelle", "non-dropping-particle" : "", "parse-names" : false, "suffix" : "" }, { "dropping-particle" : "", "family" : "Sagalowicz", "given" : "Laurent", "non-dropping-particle" : "", "parse-names" : false, "suffix" : "" }, { "dropping-particle" : "", "family" : "Green", "given" : "Hilary", "non-dropping-particle" : "", "parse-names" : false, "suffix" : "" }, { "dropping-particle" : "", "family" : "Fay", "given" : "Laurent Bernard", "non-dropping-particle" : "", "parse-names" : false, "suffix" : "" } ], "container-title" : "American Journal of Clinical Nutrition", "id" : "ITEM-3", "issue" : "1", "issued" : { "date-parts" : [ [ "2004" ] ] }, "page" : "171-177", "title" : "Both free and esterified plant sterols reduce cholesterol absorption and the bioavailability of \u03b2-carotene and \u03b1-tocopherol in normocholesterolemic humans", "type" : "article-journal", "volume" : "80" }, "uris" : [ "http://www.mendeley.com/documents/?uuid=4cc70daf-d606-4ae4-84ce-8434712cc5ee" ] } ], "mendeley" : { "formattedCitation" : "(Richelle et al. 2004; Lau et al. 2005; Ba\u00f1uls et al. 2010)", "plainTextFormattedCitation" : "(Richelle et al. 2004; Lau et al. 2005; Ba\u00f1uls et al. 2010)", "previouslyFormattedCitation" : "(Richelle et al. 2004; Lau et al. 2005; Ba\u00f1uls et al. 2010)" }, "properties" : { "noteIndex" : 0 }, "schema" : "https://github.com/citation-style-language/schema/raw/master/csl-citation.json" }</w:instrText>
      </w:r>
      <w:r w:rsidRPr="00547FB5">
        <w:rPr>
          <w:lang w:val="en-GB"/>
        </w:rPr>
        <w:fldChar w:fldCharType="separate"/>
      </w:r>
      <w:r w:rsidRPr="00547FB5">
        <w:rPr>
          <w:noProof/>
          <w:lang w:val="en-GB"/>
        </w:rPr>
        <w:t>(Richelle et al. 2004; Lau et al. 2005; Bañuls et al. 2010)</w:t>
      </w:r>
      <w:r w:rsidRPr="00547FB5">
        <w:rPr>
          <w:lang w:val="en-GB"/>
        </w:rPr>
        <w:fldChar w:fldCharType="end"/>
      </w:r>
      <w:r w:rsidRPr="00547FB5">
        <w:rPr>
          <w:lang w:val="en-GB"/>
        </w:rPr>
        <w:t xml:space="preserve">. Furthermore, meta-analyses of randomised controlled trials in humans have demonstrated a dose-dependent LDL cholesterol lowering effect of plant sterols </w:t>
      </w:r>
      <w:r w:rsidRPr="00547FB5">
        <w:rPr>
          <w:lang w:val="en-GB"/>
        </w:rPr>
        <w:fldChar w:fldCharType="begin" w:fldLock="1"/>
      </w:r>
      <w:r w:rsidRPr="00547FB5">
        <w:rPr>
          <w:lang w:val="en-GB"/>
        </w:rPr>
        <w:instrText>ADDIN CSL_CITATION { "citationItems" : [ { "id" : "ITEM-1", "itemData" : { "DOI" : "10.3945/jn.108.095125", "ISBN" : "1541-6100 (Electronic)\\r0022-3166 (Linking)", "ISSN" : "0022-3166", "PMID" : "19091798", "abstract" : "Phytosterols (plant sterols and stanols) are well known for their LDL-cholesterol (LDL-C)-lowering effect. A meta-analysis of randomized controlled trials in adults was performed to establish a continuous dose-response relationship that would allow predicting the LDL-C-lowering efficacy of different phytosterol doses. Eighty-four trials including 141 trial arms were included. A nonlinear equation comprising 2 parameters (the maximal LDL-C lowering and an incremental dose step) was used to describe the dose-response curve. The overall pooled absolute (mmol/L) and relative (%) LDL-C-lowering effects of phytosterols were also assessed with a random effects model. The pooled LDL-C reduction was 0.34 mmol/L (95% CI: -0.36, -0.31) or 8.8% (95% CI: -9.4, -8.3) for a mean daily dose of 2.15 g phytosterols. The impacts of subject baseline characteristics, food formats, type of phytosterols, and study quality on the continuous dose-response curve were determined by regression or subgroup analyses. Higher baseline LDL-C concentrations resulted in greater absolute LDL-C reductions. No significant differences were found between dose-response curves established for plant sterols vs. stanols, fat-based vs. non fat-based food formats and dairy vs. nondairy foods. A larger effect was observed with solid foods than with liquid foods only at high phytosterol doses (&gt;2 g/d). There was a strong tendency (P = 0.054) towards a slightly lower efficacy of single vs. multiple daily intakes of phytosterols. In conclusion, the dose-dependent LDL-C-lowering efficacy of phytosterols incorporated in various food formats was confirmed and equations of the continuous relationship were established to predict the effect of a given phytosterol dose. Further investigations are warranted to investigate the impact of solid vs. liquid food formats and frequency of intake on phytosterol efficacy.", "author" : [ { "dropping-particle" : "", "family" : "Demonty", "given" : "Isabelle", "non-dropping-particle" : "", "parse-names" : false, "suffix" : "" }, { "dropping-particle" : "", "family" : "Ras", "given" : "Rouyanne T", "non-dropping-particle" : "", "parse-names" : false, "suffix" : "" }, { "dropping-particle" : "", "family" : "Knaap", "given" : "Henk C M", "non-dropping-particle" : "van der", "parse-names" : false, "suffix" : "" }, { "dropping-particle" : "", "family" : "Duchateau", "given" : "Guus S M J E", "non-dropping-particle" : "", "parse-names" : false, "suffix" : "" }, { "dropping-particle" : "", "family" : "Meijer", "given" : "Linsie", "non-dropping-particle" : "", "parse-names" : false, "suffix" : "" }, { "dropping-particle" : "", "family" : "Zock", "given" : "Peter L", "non-dropping-particle" : "", "parse-names" : false, "suffix" : "" }, { "dropping-particle" : "", "family" : "Geleijnse", "given" : "Johanna M", "non-dropping-particle" : "", "parse-names" : false, "suffix" : "" }, { "dropping-particle" : "", "family" : "Trautwein", "given" : "Elke a", "non-dropping-particle" : "", "parse-names" : false, "suffix" : "" } ], "container-title" : "Journal of Nutrition", "id" : "ITEM-1", "issue" : "2", "issued" : { "date-parts" : [ [ "2008", "12", "23" ] ] }, "page" : "271-284", "title" : "Continuous Dose-Response Relationship of the LDL-Cholesterol-Lowering Effect of Phytosterol Intake", "type" : "article-journal", "volume" : "139" }, "uris" : [ "http://www.mendeley.com/documents/?uuid=a273105f-0eec-4320-92c5-4b5d392fc989" ] }, { "id" : "ITEM-2", "itemData" : { "DOI" : "10.1016/j.plefa.2011.02.001", "ISSN" : "09523278", "author" : [ { "dropping-particle" : "", "family" : "Musa-Veloso", "given" : "Kathy", "non-dropping-particle" : "", "parse-names" : false, "suffix" : "" }, { "dropping-particle" : "", "family" : "Poon", "given" : "Theresa H.", "non-dropping-particle" : "", "parse-names" : false, "suffix" : "" }, { "dropping-particle" : "", "family" : "Elliot", "given" : "Julie Ann", "non-dropping-particle" : "", "parse-names" : false, "suffix" : "" }, { "dropping-particle" : "", "family" : "Chung", "given" : "Catherine", "non-dropping-particle" : "", "parse-names" : false, "suffix" : "" } ], "container-title" : "Prostaglandins, Leukotrienes and Essential Fatty Acids", "id" : "ITEM-2", "issue" : "1", "issued" : { "date-parts" : [ [ "2011", "7" ] ] }, "page" : "9-28", "title" : "A comparison of the LDL-cholesterol lowering efficacy of plant stanols and plant sterols over a continuous dose range: Results of a meta-analysis of randomized, placebo-controlled trials", "type" : "article-journal", "volume" : "85" }, "uris" : [ "http://www.mendeley.com/documents/?uuid=c3c15674-f549-4652-b9e3-4a37fb6f346e" ] } ], "mendeley" : { "formattedCitation" : "(Demonty et al. 2008; Musa-Veloso et al. 2011)", "plainTextFormattedCitation" : "(Demonty et al. 2008; Musa-Veloso et al. 2011)", "previouslyFormattedCitation" : "(Demonty et al. 2008; Musa-Veloso et al. 2011)" }, "properties" : { "noteIndex" : 0 }, "schema" : "https://github.com/citation-style-language/schema/raw/master/csl-citation.json" }</w:instrText>
      </w:r>
      <w:r w:rsidRPr="00547FB5">
        <w:rPr>
          <w:lang w:val="en-GB"/>
        </w:rPr>
        <w:fldChar w:fldCharType="separate"/>
      </w:r>
      <w:r w:rsidRPr="00547FB5">
        <w:rPr>
          <w:noProof/>
          <w:lang w:val="en-GB"/>
        </w:rPr>
        <w:t>(Demonty et al. 2008; Musa-Veloso et al. 2011)</w:t>
      </w:r>
      <w:r w:rsidRPr="00547FB5">
        <w:rPr>
          <w:lang w:val="en-GB"/>
        </w:rPr>
        <w:fldChar w:fldCharType="end"/>
      </w:r>
      <w:r w:rsidRPr="00547FB5">
        <w:rPr>
          <w:lang w:val="en-GB"/>
        </w:rPr>
        <w:t xml:space="preserve">. Based on 141 strata from 84 studies, Demonty et al. </w:t>
      </w:r>
      <w:r w:rsidRPr="00547FB5">
        <w:rPr>
          <w:lang w:val="en-GB"/>
        </w:rPr>
        <w:fldChar w:fldCharType="begin" w:fldLock="1"/>
      </w:r>
      <w:r w:rsidRPr="00547FB5">
        <w:rPr>
          <w:lang w:val="en-GB"/>
        </w:rPr>
        <w:instrText>ADDIN CSL_CITATION { "citationItems" : [ { "id" : "ITEM-1", "itemData" : { "DOI" : "10.3945/jn.108.095125", "ISBN" : "1541-6100 (Electronic)\\r0022-3166 (Linking)", "ISSN" : "0022-3166", "PMID" : "19091798", "abstract" : "Phytosterols (plant sterols and stanols) are well known for their LDL-cholesterol (LDL-C)-lowering effect. A meta-analysis of randomized controlled trials in adults was performed to establish a continuous dose-response relationship that would allow predicting the LDL-C-lowering efficacy of different phytosterol doses. Eighty-four trials including 141 trial arms were included. A nonlinear equation comprising 2 parameters (the maximal LDL-C lowering and an incremental dose step) was used to describe the dose-response curve. The overall pooled absolute (mmol/L) and relative (%) LDL-C-lowering effects of phytosterols were also assessed with a random effects model. The pooled LDL-C reduction was 0.34 mmol/L (95% CI: -0.36, -0.31) or 8.8% (95% CI: -9.4, -8.3) for a mean daily dose of 2.15 g phytosterols. The impacts of subject baseline characteristics, food formats, type of phytosterols, and study quality on the continuous dose-response curve were determined by regression or subgroup analyses. Higher baseline LDL-C concentrations resulted in greater absolute LDL-C reductions. No significant differences were found between dose-response curves established for plant sterols vs. stanols, fat-based vs. non fat-based food formats and dairy vs. nondairy foods. A larger effect was observed with solid foods than with liquid foods only at high phytosterol doses (&gt;2 g/d). There was a strong tendency (P = 0.054) towards a slightly lower efficacy of single vs. multiple daily intakes of phytosterols. In conclusion, the dose-dependent LDL-C-lowering efficacy of phytosterols incorporated in various food formats was confirmed and equations of the continuous relationship were established to predict the effect of a given phytosterol dose. Further investigations are warranted to investigate the impact of solid vs. liquid food formats and frequency of intake on phytosterol efficacy.", "author" : [ { "dropping-particle" : "", "family" : "Demonty", "given" : "Isabelle", "non-dropping-particle" : "", "parse-names" : false, "suffix" : "" }, { "dropping-particle" : "", "family" : "Ras", "given" : "Rouyanne T", "non-dropping-particle" : "", "parse-names" : false, "suffix" : "" }, { "dropping-particle" : "", "family" : "Knaap", "given" : "Henk C M", "non-dropping-particle" : "van der", "parse-names" : false, "suffix" : "" }, { "dropping-particle" : "", "family" : "Duchateau", "given" : "Guus S M J E", "non-dropping-particle" : "", "parse-names" : false, "suffix" : "" }, { "dropping-particle" : "", "family" : "Meijer", "given" : "Linsie", "non-dropping-particle" : "", "parse-names" : false, "suffix" : "" }, { "dropping-particle" : "", "family" : "Zock", "given" : "Peter L", "non-dropping-particle" : "", "parse-names" : false, "suffix" : "" }, { "dropping-particle" : "", "family" : "Geleijnse", "given" : "Johanna M", "non-dropping-particle" : "", "parse-names" : false, "suffix" : "" }, { "dropping-particle" : "", "family" : "Trautwein", "given" : "Elke a", "non-dropping-particle" : "", "parse-names" : false, "suffix" : "" } ], "container-title" : "Journal of Nutrition", "id" : "ITEM-1", "issue" : "2", "issued" : { "date-parts" : [ [ "2008", "12", "23" ] ] }, "page" : "271-284", "title" : "Continuous Dose-Response Relationship of the LDL-Cholesterol-Lowering Effect of Phytosterol Intake", "type" : "article-journal", "volume" : "139" }, "suppress-author" : 1, "uris" : [ "http://www.mendeley.com/documents/?uuid=a273105f-0eec-4320-92c5-4b5d392fc989" ] } ], "mendeley" : { "formattedCitation" : "(2008)", "plainTextFormattedCitation" : "(2008)", "previouslyFormattedCitation" : "(2008)" }, "properties" : { "noteIndex" : 0 }, "schema" : "https://github.com/citation-style-language/schema/raw/master/csl-citation.json" }</w:instrText>
      </w:r>
      <w:r w:rsidRPr="00547FB5">
        <w:rPr>
          <w:lang w:val="en-GB"/>
        </w:rPr>
        <w:fldChar w:fldCharType="separate"/>
      </w:r>
      <w:r w:rsidRPr="00547FB5">
        <w:rPr>
          <w:noProof/>
          <w:lang w:val="en-GB"/>
        </w:rPr>
        <w:t>(2008)</w:t>
      </w:r>
      <w:r w:rsidRPr="00547FB5">
        <w:rPr>
          <w:lang w:val="en-GB"/>
        </w:rPr>
        <w:fldChar w:fldCharType="end"/>
      </w:r>
      <w:r w:rsidRPr="00547FB5">
        <w:rPr>
          <w:lang w:val="en-GB"/>
        </w:rPr>
        <w:t xml:space="preserve"> used a regression analysis to derive a continuous dose-response relationship between the consumption of plant sterols and LDL cholesterol reduction. A daily dose of 2 g of free </w:t>
      </w:r>
      <w:r w:rsidR="00EA18ED" w:rsidRPr="00547FB5">
        <w:rPr>
          <w:lang w:val="en-GB"/>
        </w:rPr>
        <w:t xml:space="preserve">plant sterols </w:t>
      </w:r>
      <w:r w:rsidRPr="00547FB5">
        <w:rPr>
          <w:lang w:val="en-GB"/>
        </w:rPr>
        <w:t xml:space="preserve">(or the equivalent weight of </w:t>
      </w:r>
      <w:r w:rsidR="0038105B">
        <w:rPr>
          <w:lang w:val="en-GB"/>
        </w:rPr>
        <w:t>total</w:t>
      </w:r>
      <w:r w:rsidRPr="00547FB5">
        <w:rPr>
          <w:lang w:val="en-GB"/>
        </w:rPr>
        <w:t xml:space="preserve"> plant sterols) was predicted to reduce LDL cholesterol by 9%, which closely agrees with the meta-analytic pooled estimate of an 8.8% (95% CI: -9.4, -8.3%) decrease in LDL cholesterol for a mean daily dose of 2.15 g of free</w:t>
      </w:r>
      <w:r w:rsidR="00EA18ED">
        <w:rPr>
          <w:lang w:val="en-GB"/>
        </w:rPr>
        <w:t xml:space="preserve"> plant sterols</w:t>
      </w:r>
      <w:r w:rsidRPr="00547FB5">
        <w:rPr>
          <w:lang w:val="en-GB"/>
        </w:rPr>
        <w:t xml:space="preserve"> (or the equivalent weight of </w:t>
      </w:r>
      <w:r w:rsidR="0038105B">
        <w:rPr>
          <w:lang w:val="en-GB"/>
        </w:rPr>
        <w:t>total</w:t>
      </w:r>
      <w:r w:rsidRPr="00547FB5">
        <w:rPr>
          <w:lang w:val="en-GB"/>
        </w:rPr>
        <w:t xml:space="preserve"> plant sterols). The predicted reduction is also consistent with the mean 8.9% reduction in LDL cholesterol reported by Katan et al. </w:t>
      </w:r>
      <w:r w:rsidRPr="00547FB5">
        <w:rPr>
          <w:lang w:val="en-GB"/>
        </w:rPr>
        <w:fldChar w:fldCharType="begin" w:fldLock="1"/>
      </w:r>
      <w:r w:rsidRPr="00547FB5">
        <w:rPr>
          <w:lang w:val="en-GB"/>
        </w:rPr>
        <w:instrText>ADDIN CSL_CITATION { "citationItems" : [ { "id" : "ITEM-1", "itemData" : { "DOI" : "10.4065/78.8.965", "ISSN" : "00256196", "PMID" : "12911045", "abstract" : "Foods with plant stanol or sterol esters lower serum cholesterol levels. We summarize the deliberations of 32 experts on the efficacy and safety of sterols and stanols. A meta-analysis of 41 trials showed that intake of 2 g/d of stanols or sterols reduced low-density lipoprotein (LDL) by 10%; higher intakes added little. Efficacy is similar for sterols and stanols, but the food form may substantially affect LDL reduction. Effects are additive with diet or drug interventions: eating foods low in saturated fat and cholesterol and high in stanols or sterols can reduce LDL by 20%; adding sterols or stanols to statin medication is more effective than doubling the statin dose. A meta-analysis of 10 to 15 trials per vitamin showed that plasma levels of vitamins A and D are not affected by stanols or sterols. Alpha carotene, lycopene, and vitamin E levels remained stable relative to their carrier molecule, LDL. Beta carotene levels declined, but adverse health outcomes were not expected. Sterol-enriched foods increased plasma sterol levels, and workshop participants discussed whether this would increase risk, in view of the marked increase of atherosclerosis in patients with homozygous phytosterolemia. This risk is believed to be largely hypothetical, and any increase due to the small increase in plasma plant sterols may be more than offset by the decrease in plasma LDL. There are insufficient data to suggest that plant stanols or sterols either prevent or promote colon carcinogenesis. Safety of sterols and stanols is being monitored by follow-up of samples from the general population; however, the power of such studies to pick up infrequent increases in common diseases, if any exist, is limited. A trial with clinical outcomes probably would not answer remaining questions about infrequent adverse effects. Trials with surrogate end points such as intima-media thickness might corroborate the expected efficacy in reducing atherosclerosis. However, present evidence is sufficient to promote use of sterols and stanols for lowering LDL cholesterol levels in persons at increased risk for coronary heart disease.", "author" : [ { "dropping-particle" : "", "family" : "Katan", "given" : "Martijn B", "non-dropping-particle" : "", "parse-names" : false, "suffix" : "" }, { "dropping-particle" : "", "family" : "Grundy", "given" : "Scott M", "non-dropping-particle" : "", "parse-names" : false, "suffix" : "" }, { "dropping-particle" : "", "family" : "Jones", "given" : "Peter", "non-dropping-particle" : "", "parse-names" : false, "suffix" : "" }, { "dropping-particle" : "", "family" : "Law", "given" : "Malcolm", "non-dropping-particle" : "", "parse-names" : false, "suffix" : "" }, { "dropping-particle" : "", "family" : "Miettinen", "given" : "Tatu", "non-dropping-particle" : "", "parse-names" : false, "suffix" : "" }, { "dropping-particle" : "", "family" : "Paoletti", "given" : "Rodolfo", "non-dropping-particle" : "", "parse-names" : false, "suffix" : "" } ], "container-title" : "Mayo Clinic Proceedings", "id" : "ITEM-1", "issue" : "8", "issued" : { "date-parts" : [ [ "2003", "8", "1" ] ] }, "language" : "English", "page" : "965-978", "publisher" : "Elsevier", "title" : "Efficacy and Safety of Plant Stanols and Sterols in the Management of Blood Cholesterol Levels", "type" : "article-journal", "volume" : "78" }, "suppress-author" : 1, "uris" : [ "http://www.mendeley.com/documents/?uuid=d7c1ceb3-b45a-44d6-9754-dc2ab739d62b" ] } ], "mendeley" : { "formattedCitation" : "(2003)", "plainTextFormattedCitation" : "(2003)", "previouslyFormattedCitation" : "(2003)" }, "properties" : { "noteIndex" : 0 }, "schema" : "https://github.com/citation-style-language/schema/raw/master/csl-citation.json" }</w:instrText>
      </w:r>
      <w:r w:rsidRPr="00547FB5">
        <w:rPr>
          <w:lang w:val="en-GB"/>
        </w:rPr>
        <w:fldChar w:fldCharType="separate"/>
      </w:r>
      <w:r w:rsidRPr="00547FB5">
        <w:rPr>
          <w:noProof/>
          <w:lang w:val="en-GB"/>
        </w:rPr>
        <w:t>(2003)</w:t>
      </w:r>
      <w:r w:rsidRPr="00547FB5">
        <w:rPr>
          <w:lang w:val="en-GB"/>
        </w:rPr>
        <w:fldChar w:fldCharType="end"/>
      </w:r>
      <w:r w:rsidRPr="00547FB5">
        <w:rPr>
          <w:lang w:val="en-GB"/>
        </w:rPr>
        <w:t xml:space="preserve"> for studies that tested daily doses of free</w:t>
      </w:r>
      <w:r w:rsidR="00EA18ED">
        <w:rPr>
          <w:lang w:val="en-GB"/>
        </w:rPr>
        <w:t xml:space="preserve"> </w:t>
      </w:r>
      <w:r w:rsidR="00EA18ED" w:rsidRPr="00547FB5">
        <w:rPr>
          <w:lang w:val="en-GB"/>
        </w:rPr>
        <w:t>plant sterols</w:t>
      </w:r>
      <w:r w:rsidRPr="00547FB5">
        <w:rPr>
          <w:lang w:val="en-GB"/>
        </w:rPr>
        <w:t xml:space="preserve"> (or the equivalent weight of </w:t>
      </w:r>
      <w:r w:rsidR="0038105B">
        <w:rPr>
          <w:lang w:val="en-GB"/>
        </w:rPr>
        <w:t>total</w:t>
      </w:r>
      <w:r w:rsidRPr="00547FB5">
        <w:rPr>
          <w:lang w:val="en-GB"/>
        </w:rPr>
        <w:t xml:space="preserve"> plant sterols) that ranged from 2.0 to 2.4 g. At daily doses of 3 g, the predicted change in LDL cholesterol is -11% and at higher daily doses the change approaches the asymptotic value of -12.7% (95% CI: -15.4, -10%).</w:t>
      </w:r>
    </w:p>
    <w:p w14:paraId="17A73CB3" w14:textId="77777777" w:rsidR="0051780C" w:rsidRPr="00547FB5" w:rsidRDefault="0051780C" w:rsidP="0051780C">
      <w:pPr>
        <w:rPr>
          <w:lang w:val="en-GB"/>
        </w:rPr>
      </w:pPr>
    </w:p>
    <w:p w14:paraId="05D05069" w14:textId="0D52174C" w:rsidR="0051780C" w:rsidRPr="00547FB5" w:rsidRDefault="0051780C" w:rsidP="00616BDD">
      <w:pPr>
        <w:rPr>
          <w:lang w:val="en-GB"/>
        </w:rPr>
      </w:pPr>
      <w:r w:rsidRPr="00547FB5">
        <w:rPr>
          <w:lang w:val="en-GB"/>
        </w:rPr>
        <w:t xml:space="preserve">Statistically significant reductions in LDL cholesterol concentrations have been reported </w:t>
      </w:r>
      <w:r w:rsidRPr="00547FB5">
        <w:rPr>
          <w:lang w:val="en-GB"/>
        </w:rPr>
        <w:fldChar w:fldCharType="begin" w:fldLock="1"/>
      </w:r>
      <w:r w:rsidR="001147E2">
        <w:rPr>
          <w:lang w:val="en-GB"/>
        </w:rPr>
        <w:instrText>ADDIN CSL_CITATION { "citationItems" : [ { "id" : "ITEM-1", "itemData" : { "DOI" : "10.3164/jcbn.33.75", "ISSN" : "1880-5086", "author" : [ { "dropping-particle" : "", "family" : "Ishizaki", "given" : "Taichi", "non-dropping-particle" : "", "parse-names" : false, "suffix" : "" }, { "dropping-particle" : "", "family" : "Wakabayashi", "given" : "Maki", "non-dropping-particle" : "", "parse-names" : false, "suffix" : "" }, { "dropping-particle" : "", "family" : "Tanimoto", "given" : "Hiroyuki", "non-dropping-particle" : "", "parse-names" : false, "suffix" : "" }, { "dropping-particle" : "", "family" : "Shima", "given" : "Atsuhito", "non-dropping-particle" : "", "parse-names" : false, "suffix" : "" }, { "dropping-particle" : "", "family" : "Yabune", "given" : "Mitsuharu", "non-dropping-particle" : "", "parse-names" : false, "suffix" : "" }, { "dropping-particle" : "", "family" : "Kajimoto", "given" : "Osami", "non-dropping-particle" : "", "parse-names" : false, "suffix" : "" }, { "dropping-particle" : "", "family" : "Itakura", "given" : "Hiroshige", "non-dropping-particle" : "", "parse-names" : false, "suffix" : "" } ], "container-title" : "Journal of Clinical Biochemistry and Nutrition", "id" : "ITEM-1", "issue" : "3", "issued" : { "date-parts" : [ [ "2003" ] ] }, "page" : "75-82", "title" : "Effects of Long-Term Intake of Mayonnaise Containing Phytosterolester on Blood Cholesterol Concentration in Japanese with Borderline or Mild Cholesterolemia", "type" : "article-journal", "volume" : "33" }, "uris" : [ "http://www.mendeley.com/documents/?uuid=4139a920-b021-4eeb-b46f-7512e740cfbb" ] }, { "id" : "ITEM-2", "itemData" : { "DOI" : "10.5650/jos.57.23", "ISSN" : "1345-8957", "author" : [ { "dropping-particle" : "", "family" : "Kurokawa", "given" : "Masanori", "non-dropping-particle" : "", "parse-names" : false, "suffix" : "" }, { "dropping-particle" : "", "family" : "Masuda", "given" : "Yasunobu", "non-dropping-particle" : "", "parse-names" : false, "suffix" : "" }, { "dropping-particle" : "", "family" : "Noda", "given" : "Mitsuhiro", "non-dropping-particle" : "", "parse-names" : false, "suffix" : "" }, { "dropping-particle" : "", "family" : "Marushima", "given" : "Ranko", "non-dropping-particle" : "", "parse-names" : false, "suffix" : "" }, { "dropping-particle" : "", "family" : "Usuda", "given" : "Mika", "non-dropping-particle" : "", "parse-names" : false, "suffix" : "" }, { "dropping-particle" : "", "family" : "Takeda", "given" : "Sayaka", "non-dropping-particle" : "", "parse-names" : false, "suffix" : "" }, { "dropping-particle" : "", "family" : "Hasegawa", "given" : "Mineo", "non-dropping-particle" : "", "parse-names" : false, "suffix" : "" }, { "dropping-particle" : "", "family" : "Homma", "given" : "Yasuhiko", "non-dropping-particle" : "", "parse-names" : false, "suffix" : "" }, { "dropping-particle" : "", "family" : "Sugano", "given" : "Michihiro", "non-dropping-particle" : "", "parse-names" : false, "suffix" : "" } ], "container-title" : "Journal of Oleo Science", "id" : "ITEM-2", "issue" : "1", "issued" : { "date-parts" : [ [ "2008" ] ] }, "page" : "23-33", "title" : "Minimal Effective Dose on Serum Cholesterol Concentration and the Safety Evaluation of Dressing Containing Plant Sterol in Japanese Subjects", "type" : "article-journal", "volume" : "57" }, "uris" : [ "http://www.mendeley.com/documents/?uuid=9d0b9068-6e17-4a3a-b27c-41d75fa02b30" ] } ], "mendeley" : { "formattedCitation" : "(Ishizaki et al. 2003; Kurokawa et al. 2008)", "plainTextFormattedCitation" : "(Ishizaki et al. 2003; Kurokawa et al. 2008)", "previouslyFormattedCitation" : "(Ishizaki et al. 2003; Kurokawa et al. 2008)" }, "properties" : { "noteIndex" : 0 }, "schema" : "https://github.com/citation-style-language/schema/raw/master/csl-citation.json" }</w:instrText>
      </w:r>
      <w:r w:rsidRPr="00547FB5">
        <w:rPr>
          <w:lang w:val="en-GB"/>
        </w:rPr>
        <w:fldChar w:fldCharType="separate"/>
      </w:r>
      <w:r w:rsidR="00786BE0" w:rsidRPr="00786BE0">
        <w:rPr>
          <w:noProof/>
          <w:lang w:val="en-GB"/>
        </w:rPr>
        <w:t>(Ishizaki et al. 2003; Kurokawa et al. 2008)</w:t>
      </w:r>
      <w:r w:rsidRPr="00547FB5">
        <w:rPr>
          <w:lang w:val="en-GB"/>
        </w:rPr>
        <w:fldChar w:fldCharType="end"/>
      </w:r>
      <w:r w:rsidRPr="00547FB5">
        <w:rPr>
          <w:lang w:val="en-GB"/>
        </w:rPr>
        <w:t xml:space="preserve"> in trials that tested daily doses of around 0.8 g of </w:t>
      </w:r>
      <w:r w:rsidR="00663C81">
        <w:rPr>
          <w:lang w:val="en-GB"/>
        </w:rPr>
        <w:t xml:space="preserve">plant sterols </w:t>
      </w:r>
      <w:r w:rsidRPr="00547FB5">
        <w:rPr>
          <w:lang w:val="en-GB"/>
        </w:rPr>
        <w:t>(or the equivalent</w:t>
      </w:r>
      <w:r w:rsidR="00BA0B04">
        <w:rPr>
          <w:lang w:val="en-GB"/>
        </w:rPr>
        <w:t xml:space="preserve"> weight of </w:t>
      </w:r>
      <w:r w:rsidR="0038105B">
        <w:rPr>
          <w:lang w:val="en-GB"/>
        </w:rPr>
        <w:t>total</w:t>
      </w:r>
      <w:r w:rsidR="00BA0B04">
        <w:rPr>
          <w:lang w:val="en-GB"/>
        </w:rPr>
        <w:t xml:space="preserve"> plant sterols).</w:t>
      </w:r>
      <w:r w:rsidRPr="00547FB5">
        <w:rPr>
          <w:lang w:val="en-GB"/>
        </w:rPr>
        <w:t xml:space="preserve"> </w:t>
      </w:r>
      <w:r w:rsidR="00BA0B04">
        <w:rPr>
          <w:lang w:val="en-GB"/>
        </w:rPr>
        <w:t>H</w:t>
      </w:r>
      <w:r w:rsidRPr="00547FB5">
        <w:rPr>
          <w:lang w:val="en-GB"/>
        </w:rPr>
        <w:t>owever, other studies that tested similar daily doses (0.8–1.0 g) reported confidence intervals for the mean reductions</w:t>
      </w:r>
      <w:r w:rsidR="00D23B4F">
        <w:rPr>
          <w:lang w:val="en-GB"/>
        </w:rPr>
        <w:t xml:space="preserve"> in</w:t>
      </w:r>
      <w:r w:rsidRPr="00547FB5">
        <w:rPr>
          <w:lang w:val="en-GB"/>
        </w:rPr>
        <w:t xml:space="preserve"> LDL cholesterol concentrations that either approached or crossed the line of no-effect </w:t>
      </w:r>
      <w:r w:rsidRPr="00547FB5">
        <w:rPr>
          <w:lang w:val="en-GB"/>
        </w:rPr>
        <w:fldChar w:fldCharType="begin" w:fldLock="1"/>
      </w:r>
      <w:r w:rsidRPr="00547FB5">
        <w:rPr>
          <w:lang w:val="en-GB"/>
        </w:rPr>
        <w:instrText>ADDIN CSL_CITATION { "citationItems" : [ { "id" : "ITEM-1", "itemData" : { "DOI" : "10.1042/cs0870061", "ISBN" : "0143-5221 (Print)\\n0143-5221 (Linking)", "ISSN" : "0143-5221", "PMID" : "8062521", "abstract" : "1. Serum cholesterol reduction and changes in cholesterol metabolism were studied during rapeseed oil feeding without and with increasing amounts of sitostanol trans-esterified with rapeseed oil fatty acids and dissolved in rapeseed oil mayonnaise. Fifteen mildly hypercholesterolaemic subjects replaced 50 g of their usual dietary fat by 50 g of rapeseed oil fat mayonnaise for 6 weeks followed by randomization so that eight subjects continued on rapeseed oil mayonnaise alone (control group) for 15 weeks and seven on rapeseed oil mayonnaise with a small dose of sitostanol ester (800 mg/day of sitostanol) for 9 weeks followed by 6 weeks with higher dose of sitostanol ester (2000 mg/day of sitostanol). 2. During the rapeseed oil period the reduction in serum low-density lipoprotein cholesterol was 14% from the home diet. The control-adjusted reduction by the low sitostanol ester dose was 7.4% (not significant) and by the higher dose it was 15.7%. 3. The low dose of sitostanol ester had no consistent effect on cholesterol precursors or cholestanol in serum, reduced serum levels of campesterol and sitosterol by 28.2% and 23.6%, respectively, and reduced cholesterol absorption efficiency significantly from 28.7% to 23.4%. In accordance, faecal excretion of neutral and particularly endogenous neutral sterols increased (16.7% and 19.7%, respectively), but faecal cholesterol elimination and cholesterol synthesis were only insignificantly increased. 4. During the high dose of sitostanol ester the high-density lipoprotein-to low-density lipoprotein-cholesterol ratio increased.(ABSTRACT TRUNCATED AT 250 WORDS)", "author" : [ { "dropping-particle" : "", "family" : "Vanhanen", "given" : "H T", "non-dropping-particle" : "", "parse-names" : false, "suffix" : "" }, { "dropping-particle" : "", "family" : "Kajander", "given" : "J", "non-dropping-particle" : "", "parse-names" : false, "suffix" : "" }, { "dropping-particle" : "", "family" : "Lehtovirta", "given" : "H", "non-dropping-particle" : "", "parse-names" : false, "suffix" : "" }, { "dropping-particle" : "", "family" : "Miettinen", "given" : "T A", "non-dropping-particle" : "", "parse-names" : false, "suffix" : "" } ], "container-title" : "Clinical Science", "id" : "ITEM-1", "issue" : "1", "issued" : { "date-parts" : [ [ "1994", "7", "1" ] ] }, "page" : "61-67", "title" : "Serum Levels, Absorption Efficiency, Faecal Elimination and Synthesis of Cholesterol during Increasing Doses of Dietary Sitostanol Esters in Hypercholesterolaemic Subjects", "type" : "article-journal", "volume" : "87" }, "uris" : [ "http://www.mendeley.com/documents/?uuid=d291db59-4bf6-4333-b13e-5e36cac805ff" ] }, { "id" : "ITEM-2", "itemData" : { "DOI" : "10.1211/0022357056343", "ISBN" : "0022-3573 (Print)\\r0022-3573 (Linking)", "ISSN" : "00223573", "PMID" : "15969949", "abstract" : "The feasibility of using solid dosage forms containing stanol lecithin to lower human LDL-cholesterol was investigated. The particle size distribution of a coarse aqueous dispersion of a stanol lecithin mixture was determined at various weight ratios of the components. At a stanol-to-lecithin weight ratio of 1.00-1.50, dispersions could be spray dried and the solid reconstituted with water to produce a particle size distribution that was similar to that of the aqueous dispersion from which it was derived. Two solid dosage forms containing this spray-dried stanol lecithin preparation had different disintegration times--tablets less than 10 min and capsules greater than 45 min. Each delivery system was then tested for LDL-cholesterol reduction activity in a placebo-controlled, double-blind clinical trial containing a total of 52 subjects. After a six-week treatment period, the group that received rapidly disintegrating stanol lecithin tablets (1.26 g stanols daily) experienced a decrease in both LDL-cholesterol and the ratio of LDL-cholesterol to HDL-cholesterol by 10.4% (P = 0.01) and 11.5% (P = 0.03), respectively, relative to placebo. On the other hand, with slowly disintegrating capsules (1.01 g daily) there was no statistically significant difference in any lipid parameter between the active group and placebo group. Taken together, these studies demonstrate that for maximum LDL-cholesterol reduction activity the stanol lecithin formulation must be delivered in a rapidly dispersible form to reach the site of cholesterol absorption.", "author" : [ { "dropping-particle" : "", "family" : "McPherson", "given" : "Timothy B", "non-dropping-particle" : "", "parse-names" : false, "suffix" : "" }, { "dropping-particle" : "", "family" : "Ostlund", "given" : "Richard E", "non-dropping-particle" : "", "parse-names" : false, "suffix" : "" }, { "dropping-particle" : "", "family" : "Goldberg", "given" : "Anne C", "non-dropping-particle" : "", "parse-names" : false, "suffix" : "" }, { "dropping-particle" : "", "family" : "Bateman", "given" : "Joyce H", "non-dropping-particle" : "", "parse-names" : false, "suffix" : "" }, { "dropping-particle" : "", "family" : "Schimmoeller", "given" : "Linda", "non-dropping-particle" : "", "parse-names" : false, "suffix" : "" }, { "dropping-particle" : "", "family" : "Spilburg", "given" : "Curtis A", "non-dropping-particle" : "", "parse-names" : false, "suffix" : "" } ], "container-title" : "Journal of Pharmacy and Pharmacology", "id" : "ITEM-2", "issue" : "7", "issued" : { "date-parts" : [ [ "2005", "7" ] ] }, "page" : "889-896", "title" : "Phytostanol tablets reduce human LDL-cholesterol", "type" : "article-journal", "volume" : "57" }, "uris" : [ "http://www.mendeley.com/documents/?uuid=8f4e3b41-7485-4b32-8457-d555e57f9746" ] }, { "id" : "ITEM-3", "itemData" : { "DOI" : "10.1080/09637480701554137", "ISBN" : "0963-7486", "ISSN" : "0963-7486", "PMID" : "18979616", "abstract" : "This study examined the effect of plant sterols added, together with an emulsifying agent, to a low-fat yoghurt on the serum lipid and plant sterol values in moderately hypercholesterolaemic volunteers. Study I was a randomized double-blind, cross-over trial. For 4 weeks, 15 volunteers consumed yoghurt containing 1 g plant sterols or a placebo yoghurt. Study II was a randomized, double-blind, parallel-group study. For 8 weeks, the sterol group (n=12) ingested daily two yoghurts (2 g/day plant sterols) and the placebo group (n=14) ingested two yoghurts without plant sterols. Study I: compared with the placebo, the sterol yoghurt reduced serum total cholesterol by 0.15 mmol/l (2.2%, P=0.235) and low-density lipoprotein (LDL) cholesterol by 0.19 mmol/l (4.3%, P=0.082), and increased serum campesterol by 0.26 mg/100 ml (P=0.006) and sitosterol by 0.11 mg/100 ml (P=0.015). Study II: compared with the placebo, the sterol yoghurt reduced serum total cholesterol by 0.41 mmol/l (6.3%, P=0.167) and LDL cholesterol by 0.28 mmol/l (6.4%, P=0.306), and increased serum campesterol by 0.28 mg/100 ml (P=0.016) and sitosterol by 0.40 mg/100 ml (P=0.206). Meta-analysis: the pooled treatment difference was -0.34 mmol/l (-5.2%, P=0.173) in total cholesterol and was -0.26 mmol/l (-5.8%, P=0.261) in LDL cholesterol, when the sterol yoghurt was compared with the placebo. A low-fat yoghurt enriched with 1-2 g/day plant sterols reduced serum cholesterol levels in moderately hypercholesterolaemic subjects. Campesterol and sitosterol serum levels increased, but their concentration remained in the range of normal values.", "author" : [ { "dropping-particle" : "", "family" : "Niittynen", "given" : "Leena H", "non-dropping-particle" : "", "parse-names" : false, "suffix" : "" }, { "dropping-particle" : "", "family" : "Jauhiainen", "given" : "Tiina A", "non-dropping-particle" : "", "parse-names" : false, "suffix" : "" }, { "dropping-particle" : "", "family" : "Poussa", "given" : "Tuija A", "non-dropping-particle" : "", "parse-names" : false, "suffix" : "" }, { "dropping-particle" : "", "family" : "Korpela", "given" : "&gt;Riitta", "non-dropping-particle" : "", "parse-names" : false, "suffix" : "" } ], "container-title" : "International Journal of Food Sciences and Nutrition", "id" : "ITEM-3", "issue" : "5", "issued" : { "date-parts" : [ [ "2008", "1", "6" ] ] }, "page" : "357-367", "title" : "Effects of yoghurt enriched with free plant sterols on the levels of serum lipids and plant sterols in moderately hypercholesterolaemic subjects on a high-fat diet", "type" : "article-journal", "volume" : "59" }, "uris" : [ "http://www.mendeley.com/documents/?uuid=79bd0dbc-2460-4ec0-93aa-f2fdb03fcf9b" ] } ], "mendeley" : { "formattedCitation" : "(Vanhanen et al. 1994; McPherson et al. 2005; Niittynen et al. 2008)", "plainTextFormattedCitation" : "(Vanhanen et al. 1994; McPherson et al. 2005; Niittynen et al. 2008)", "previouslyFormattedCitation" : "(Vanhanen et al. 1994; McPherson et al. 2005; Niittynen et al. 2008)" }, "properties" : { "noteIndex" : 0 }, "schema" : "https://github.com/citation-style-language/schema/raw/master/csl-citation.json" }</w:instrText>
      </w:r>
      <w:r w:rsidRPr="00547FB5">
        <w:rPr>
          <w:lang w:val="en-GB"/>
        </w:rPr>
        <w:fldChar w:fldCharType="separate"/>
      </w:r>
      <w:r w:rsidRPr="00547FB5">
        <w:rPr>
          <w:noProof/>
          <w:lang w:val="en-GB"/>
        </w:rPr>
        <w:t>(Vanhanen et al. 1994; McPherson et al. 2005; Niittynen et al. 2008)</w:t>
      </w:r>
      <w:r w:rsidRPr="00547FB5">
        <w:rPr>
          <w:lang w:val="en-GB"/>
        </w:rPr>
        <w:fldChar w:fldCharType="end"/>
      </w:r>
      <w:r w:rsidRPr="00547FB5">
        <w:rPr>
          <w:lang w:val="en-GB"/>
        </w:rPr>
        <w:t xml:space="preserve">. Doses of 400 mg </w:t>
      </w:r>
      <w:r w:rsidR="00663C81">
        <w:rPr>
          <w:lang w:val="en-GB"/>
        </w:rPr>
        <w:t>plant sterols (</w:t>
      </w:r>
      <w:r w:rsidRPr="00547FB5">
        <w:rPr>
          <w:lang w:val="en-GB"/>
        </w:rPr>
        <w:t xml:space="preserve">or equivalent weight of </w:t>
      </w:r>
      <w:r w:rsidR="0038105B">
        <w:rPr>
          <w:lang w:val="en-GB"/>
        </w:rPr>
        <w:t>total</w:t>
      </w:r>
      <w:r w:rsidRPr="00547FB5">
        <w:rPr>
          <w:lang w:val="en-GB"/>
        </w:rPr>
        <w:t xml:space="preserve"> plant sterols</w:t>
      </w:r>
      <w:r w:rsidR="00663C81">
        <w:rPr>
          <w:lang w:val="en-GB"/>
        </w:rPr>
        <w:t>)</w:t>
      </w:r>
      <w:r w:rsidRPr="00547FB5">
        <w:rPr>
          <w:lang w:val="en-GB"/>
        </w:rPr>
        <w:t xml:space="preserve"> per day did not show statistically significant reductions in healthy subjects </w:t>
      </w:r>
      <w:r w:rsidRPr="00547FB5">
        <w:rPr>
          <w:lang w:val="en-GB"/>
        </w:rPr>
        <w:fldChar w:fldCharType="begin" w:fldLock="1"/>
      </w:r>
      <w:r w:rsidRPr="00547FB5">
        <w:rPr>
          <w:lang w:val="en-GB"/>
        </w:rPr>
        <w:instrText>ADDIN CSL_CITATION { "citationItems" : [ { "id" : "ITEM-1", "itemData" : { "DOI" : "10.3945/ajcn.2009.28070", "ISSN" : "0002-9165", "author" : [ { "dropping-particle" : "", "family" : "Racette", "given" : "S. B", "non-dropping-particle" : "", "parse-names" : false, "suffix" : "" }, { "dropping-particle" : "", "family" : "Lin", "given" : "X.", "non-dropping-particle" : "", "parse-names" : false, "suffix" : "" }, { "dropping-particle" : "", "family" : "Lefevre", "given" : "M.", "non-dropping-particle" : "", "parse-names" : false, "suffix" : "" }, { "dropping-particle" : "", "family" : "Spearie", "given" : "C. A.", "non-dropping-particle" : "", "parse-names" : false, "suffix" : "" }, { "dropping-particle" : "", "family" : "Most", "given" : "M. M", "non-dropping-particle" : "", "parse-names" : false, "suffix" : "" }, { "dropping-particle" : "", "family" : "Ma", "given" : "L.", "non-dropping-particle" : "", "parse-names" : false, "suffix" : "" }, { "dropping-particle" : "", "family" : "Ostlund", "given" : "R. E", "non-dropping-particle" : "", "parse-names" : false, "suffix" : "" } ], "container-title" : "American Journal of Clinical Nutrition", "id" : "ITEM-1", "issue" : "1", "issued" : { "date-parts" : [ [ "2010", "1", "1" ] ] }, "page" : "32-38", "title" : "Dose effects of dietary phytosterols on cholesterol metabolism: a controlled feeding study", "type" : "article-journal", "volume" : "91" }, "uris" : [ "http://www.mendeley.com/documents/?uuid=e1372f3f-2b0f-4b99-afd9-987119a9338c" ] }, { "id" : "ITEM-2", "itemData" : { "DOI" : "10.5650/jos.57.23", "ISSN" : "1345-8957", "author" : [ { "dropping-particle" : "", "family" : "Kurokawa", "given" : "Masanori", "non-dropping-particle" : "", "parse-names" : false, "suffix" : "" }, { "dropping-particle" : "", "family" : "Masuda", "given" : "Yasunobu", "non-dropping-particle" : "", "parse-names" : false, "suffix" : "" }, { "dropping-particle" : "", "family" : "Noda", "given" : "Mitsuhiro", "non-dropping-particle" : "", "parse-names" : false, "suffix" : "" }, { "dropping-particle" : "", "family" : "Marushima", "given" : "Ranko", "non-dropping-particle" : "", "parse-names" : false, "suffix" : "" }, { "dropping-particle" : "", "family" : "Usuda", "given" : "Mika", "non-dropping-particle" : "", "parse-names" : false, "suffix" : "" }, { "dropping-particle" : "", "family" : "Takeda", "given" : "Sayaka", "non-dropping-particle" : "", "parse-names" : false, "suffix" : "" }, { "dropping-particle" : "", "family" : "Hasegawa", "given" : "Mineo", "non-dropping-particle" : "", "parse-names" : false, "suffix" : "" }, { "dropping-particle" : "", "family" : "Homma", "given" : "Yasuhiko", "non-dropping-particle" : "", "parse-names" : false, "suffix" : "" }, { "dropping-particle" : "", "family" : "Sugano", "given" : "Michihiro", "non-dropping-particle" : "", "parse-names" : false, "suffix" : "" } ], "container-title" : "Journal of Oleo Science", "id" : "ITEM-2", "issue" : "1", "issued" : { "date-parts" : [ [ "2008" ] ] }, "page" : "23-33", "title" : "Minimal Effective Dose on Serum Cholesterol Concentration and the Safety Evaluation of Dressing Containing Plant Sterol in Japanese Subjects", "type" : "article-journal", "volume" : "57" }, "uris" : [ "http://www.mendeley.com/documents/?uuid=9d0b9068-6e17-4a3a-b27c-41d75fa02b30" ] }, { "id" : "ITEM-3", "itemData" : { "ISSN" : "09647058", "PMID" : "14505991", "abstract" : "It has been reported that phytosterol esters reduce cholesterol absorption and lower serum cholesterol concentration. There have been very few studies published on the effect of dose of phytosterol esters less than 1.0 g/day on plasma cholesterol levels in healthy subjects using commonly consumed foods. In this study, we evaluated the effect of 0.45 g/day (as free sterol) phytosterol ester-enriched dissolved in vegetable oil on plasma lipoproteins in sixty healthy males with slightly elevated total cholesterol concentration. This study was conducted in a randomized, double-blind, placebo-controlled, and arm parallel study. A total of 14 g/day of phytosterol ester-enriched vegetable oil containing 0.45 g phytosterol (as the major free sterol) was compared with a control vegetable oil containing 0.04 g phytosterol (as the major free sterol). All subjects did not change their usual dietary habit and consumed foods that included about 360 mg/day cholesterol for 12 weeks. In subjects with higher total cholesterol concentrations (&gt;200mg/dL), the phytosterol enriched-vegetable oil significantly reduced total cholesterol (10.3%, P&lt;0.05), very low density (VLDL) lipoprotein cholesterol (22.5%, P&lt;0.05), and remnant-like lipoprotein (RLP) cholesterol (24.7%, P&lt;0.01) compared with the control vegetable oil. A reduction in low density lipoprotein (LDL) cholesterol concentration was also observed. In particular, the improvement in serum lipoprotein was more pronounced in subjects with higher total cholesterol concentrations. Triglycerides and high density lipoprotein (HDL) cholesterol did not change significantly. Plasma concentration of fat-soluble vitamins (tocopherol and retinol) and beta-carotene were not statistically significantly affected by phytosterol ester-enriched vegetable oil. These findings indicate that a daily consumption of phytosterol ester as low as 0.45 g/day (as free sterol) is effective in lowering blood total cholesterol concentration and RLP cholesterol concentration. Lower total cholesterol, VLDL cholesterol and RLP cholesterol due to consumption of the phytosterol ester-enriched vegetable oil may be helpful in reducing the risk of CHD in the population.", "author" : [ { "dropping-particle" : "", "family" : "Seki", "given" : "Shinji", "non-dropping-particle" : "", "parse-names" : false, "suffix" : "" }, { "dropping-particle" : "", "family" : "Hidaka", "given" : "Ichiro", "non-dropping-particle" : "", "parse-names" : false, "suffix" : "" }, { "dropping-particle" : "", "family" : "Kojima", "given" : "Keiichi", "non-dropping-particle" : "", "parse-names" : false, "suffix" : "" }, { "dropping-particle" : "", "family" : "Yoshino", "given" : "Hisako", "non-dropping-particle" : "", "parse-names" : false, "suffix" : "" }, { "dropping-particle" : "", "family" : "Aoyama", "given" : "Toshiaki", "non-dropping-particle" : "", "parse-names" : false, "suffix" : "" }, { "dropping-particle" : "", "family" : "Okazaki", "given" : "Mitsuko", "non-dropping-particle" : "", "parse-names" : false, "suffix" : "" }, { "dropping-particle" : "", "family" : "Kondo", "given" : "Kazuo", "non-dropping-particle" : "", "parse-names" : false, "suffix" : "" } ], "container-title" : "Asia Pacific Journal of Clinical Nutrition", "id" : "ITEM-3", "issue" : "3", "issued" : { "date-parts" : [ [ "2003" ] ] }, "page" : "282-291", "title" : "Effects of phytosterol ester-enriched vegetable oil on plasma lipoproteins in healthy men", "type" : "article-journal", "volume" : "12" }, "uris" : [ "http://www.mendeley.com/documents/?uuid=478b9774-0934-4f83-96c5-5bb2123a1d90" ] } ], "mendeley" : { "formattedCitation" : "(Seki et al. 2003; Kurokawa et al. 2008; Racette et al. 2010)", "plainTextFormattedCitation" : "(Seki et al. 2003; Kurokawa et al. 2008; Racette et al. 2010)", "previouslyFormattedCitation" : "(Seki et al. 2003; Kurokawa et al. 2008; Racette et al. 2010)" }, "properties" : { "noteIndex" : 0 }, "schema" : "https://github.com/citation-style-language/schema/raw/master/csl-citation.json" }</w:instrText>
      </w:r>
      <w:r w:rsidRPr="00547FB5">
        <w:rPr>
          <w:lang w:val="en-GB"/>
        </w:rPr>
        <w:fldChar w:fldCharType="separate"/>
      </w:r>
      <w:r w:rsidRPr="00547FB5">
        <w:rPr>
          <w:noProof/>
          <w:lang w:val="en-GB"/>
        </w:rPr>
        <w:t>(Seki et al. 2003; Kurokawa et al. 2008; Racette et al. 2010)</w:t>
      </w:r>
      <w:r w:rsidRPr="00547FB5">
        <w:rPr>
          <w:lang w:val="en-GB"/>
        </w:rPr>
        <w:fldChar w:fldCharType="end"/>
      </w:r>
      <w:r w:rsidR="007338EE">
        <w:rPr>
          <w:lang w:val="en-GB"/>
        </w:rPr>
        <w:t>.</w:t>
      </w:r>
      <w:r w:rsidRPr="00547FB5">
        <w:rPr>
          <w:lang w:val="en-GB"/>
        </w:rPr>
        <w:t xml:space="preserve"> </w:t>
      </w:r>
      <w:r w:rsidR="006C545B">
        <w:rPr>
          <w:lang w:val="en-GB"/>
        </w:rPr>
        <w:t>However</w:t>
      </w:r>
      <w:r w:rsidR="007338EE">
        <w:rPr>
          <w:lang w:val="en-GB"/>
        </w:rPr>
        <w:t>,</w:t>
      </w:r>
      <w:r w:rsidRPr="00547FB5">
        <w:rPr>
          <w:lang w:val="en-GB"/>
        </w:rPr>
        <w:t xml:space="preserve"> it should be noted that a four-week study by </w:t>
      </w:r>
      <w:r w:rsidRPr="00547FB5">
        <w:rPr>
          <w:noProof/>
          <w:lang w:val="en-GB"/>
        </w:rPr>
        <w:t>Saito et al.</w:t>
      </w:r>
      <w:r w:rsidRPr="00547FB5">
        <w:rPr>
          <w:lang w:val="en-GB"/>
        </w:rPr>
        <w:t xml:space="preserve"> </w:t>
      </w:r>
      <w:r w:rsidRPr="00547FB5">
        <w:rPr>
          <w:lang w:val="en-GB"/>
        </w:rPr>
        <w:fldChar w:fldCharType="begin" w:fldLock="1"/>
      </w:r>
      <w:r w:rsidRPr="00547FB5">
        <w:rPr>
          <w:lang w:val="en-GB"/>
        </w:rPr>
        <w:instrText>ADDIN CSL_CITATION { "citationItems" : [ { "id" : "ITEM-1", "itemData" : { "DOI" : "10.1016/j.nut.2005.05.013", "ISSN" : "08999007", "author" : [ { "dropping-particle" : "", "family" : "Saito", "given" : "Shinichiro", "non-dropping-particle" : "", "parse-names" : false, "suffix" : "" }, { "dropping-particle" : "", "family" : "Takeshita", "given" : "Masao", "non-dropping-particle" : "", "parse-names" : false, "suffix" : "" }, { "dropping-particle" : "", "family" : "Tomonobu", "given" : "Kazuichi", "non-dropping-particle" : "", "parse-names" : false, "suffix" : "" }, { "dropping-particle" : "", "family" : "Kudo", "given" : "Naoto", "non-dropping-particle" : "", "parse-names" : false, "suffix" : "" }, { "dropping-particle" : "", "family" : "Shiiba", "given" : "Daisuke", "non-dropping-particle" : "", "parse-names" : false, "suffix" : "" }, { "dropping-particle" : "", "family" : "Hase", "given" : "Tadashi", "non-dropping-particle" : "", "parse-names" : false, "suffix" : "" }, { "dropping-particle" : "", "family" : "Tokimitsu", "given" : "Ichiro", "non-dropping-particle" : "", "parse-names" : false, "suffix" : "" }, { "dropping-particle" : "", "family" : "Yasukawa", "given" : "Takuji", "non-dropping-particle" : "", "parse-names" : false, "suffix" : "" } ], "container-title" : "Nutrition", "id" : "ITEM-1", "issue" : "2", "issued" : { "date-parts" : [ [ "2006", "2" ] ] }, "page" : "174-178", "title" : "Dose-dependent cholesterol-lowering effect of a mayonnaise-type product with a main component of diacylglycerol-containing plant sterol esters", "type" : "article-journal", "volume" : "22" }, "suppress-author" : 1, "uris" : [ "http://www.mendeley.com/documents/?uuid=b37ef42d-12d6-4ec7-851b-124defe95f71" ] } ], "mendeley" : { "formattedCitation" : "(2006)", "plainTextFormattedCitation" : "(2006)", "previouslyFormattedCitation" : "(2006)" }, "properties" : { "noteIndex" : 0 }, "schema" : "https://github.com/citation-style-language/schema/raw/master/csl-citation.json" }</w:instrText>
      </w:r>
      <w:r w:rsidRPr="00547FB5">
        <w:rPr>
          <w:lang w:val="en-GB"/>
        </w:rPr>
        <w:fldChar w:fldCharType="separate"/>
      </w:r>
      <w:r w:rsidRPr="00547FB5">
        <w:rPr>
          <w:noProof/>
          <w:lang w:val="en-GB"/>
        </w:rPr>
        <w:t>(2006)</w:t>
      </w:r>
      <w:r w:rsidRPr="00547FB5">
        <w:rPr>
          <w:lang w:val="en-GB"/>
        </w:rPr>
        <w:fldChar w:fldCharType="end"/>
      </w:r>
      <w:r w:rsidRPr="00547FB5">
        <w:rPr>
          <w:lang w:val="en-GB"/>
        </w:rPr>
        <w:t xml:space="preserve"> testing the effect of plant sterols esters in mildly hypercholesterol</w:t>
      </w:r>
      <w:r w:rsidR="00376B8B">
        <w:rPr>
          <w:lang w:val="en-GB"/>
        </w:rPr>
        <w:t>a</w:t>
      </w:r>
      <w:r w:rsidRPr="00547FB5">
        <w:rPr>
          <w:lang w:val="en-GB"/>
        </w:rPr>
        <w:t xml:space="preserve">emic males showed statistically significant reductions in LDL cholesterol concentrations with daily doses of 0.3, 0.4, and 0.5 g when compared with the respective baseline values in each of the three groups. However, the 0.3 and 0.4 g/day arms of the study did not significantly differ from the control group that consumed a diet that was not supplemented with plant sterols, but was otherwise identical to that received by the subjects in the treatment arms. </w:t>
      </w:r>
    </w:p>
    <w:p w14:paraId="23A97429" w14:textId="77777777" w:rsidR="0051780C" w:rsidRPr="00547FB5" w:rsidRDefault="0051780C" w:rsidP="0051780C">
      <w:pPr>
        <w:rPr>
          <w:lang w:val="en-GB"/>
        </w:rPr>
      </w:pPr>
    </w:p>
    <w:p w14:paraId="36D9FC39" w14:textId="696AC2B5" w:rsidR="00724D8F" w:rsidRDefault="0051780C" w:rsidP="0051780C">
      <w:pPr>
        <w:rPr>
          <w:lang w:val="en-GB"/>
        </w:rPr>
      </w:pPr>
      <w:r w:rsidRPr="00547FB5">
        <w:rPr>
          <w:lang w:val="en-GB"/>
        </w:rPr>
        <w:t xml:space="preserve">Clinical studies consistently show that the lowering effect of plant sterols on serum LDL cholesterol concentrations does not affect serum HDL cholesterol concentrations </w:t>
      </w:r>
      <w:r w:rsidRPr="00547FB5">
        <w:rPr>
          <w:lang w:val="en-GB"/>
        </w:rPr>
        <w:fldChar w:fldCharType="begin" w:fldLock="1"/>
      </w:r>
      <w:r w:rsidRPr="00547FB5">
        <w:rPr>
          <w:lang w:val="en-GB"/>
        </w:rPr>
        <w:instrText>ADDIN CSL_CITATION { "citationItems" : [ { "id" : "ITEM-1", "itemData" : { "DOI" : "10.1038/sj.ejcn.1601071", "ISBN" : "0954-3007 (Print)\\r0954-3007 (Linking)", "ISSN" : "09543007", "PMID" : "11002377", "abstract" : "OBJECTIVE: To examine in humans the effects on serum lipids, lipoproteins and fat-soluble antioxidants of a daily consumption of 2.5 g plant stanols, consumed either once per day at lunch or divided over the three meals. DESIGN: A randomized, double-blind, placebo-controlled, cross-over design. SUBJECTS: Thirty-nine healthy normocholesterolemic or mildly hypercholesterolemic subjects participated. INTERVENTIONS: Each subject consumed in random order; no plant stanols; 2.5 g plant stanols at lunch; and 2.5 g plant stanols divided over the three meals (0.42 g at breakfast, 0.84 g at lunch and 1.25 g at dinner, which is proportional to dietary cholesterol intake). Each period lasted 4 weeks. Plant stanols were esterified with fatty acids from low erucic rapeseed oil (LEAR) and incorporated into margarines or shortenings. RESULTS: Consumption of 2.5 g plant stanols at lunch results in a similar low-density lipoprotein (LDL)-cholesterol-lowering efficacy compared to consumption of 2.5 g plant stanols divided over the three meals (-0. 29 mmol/l compared with the control period (P&lt;0.001; 95% CI, -0.19 to -0.39 mmol/l) for the once per day diet and -0.31 mmol/l (P&lt;0. 001; 95% CI, -0.20 to -0.41 mmol/l)) for the three times per day period). High-density Lipoprotein (HDL) cholesterol and triacylglycerol concentrations did not change. After standardization for LDL cholesterol, the sum of the most lipophylic hydrocarbon carotenoids (ie alpha-carotene, beta-carotene and lycopene) in particular was slightly, though not significantly, lowered by -0. 017+/-0.018 micromol/mmol LDL cholesterol (P=0.307) after the once per day period and by -0.032+/-0.016 micromol/mmol LDL cholesterol (P=0.049) after the three times per day period. CONCLUSIONS: Our findings suggest that for lowering LDL cholesterol concentrations it is not necessary to consume products rich in plant stanol ester at each meal or simultaneously with dietary cholesterol. SPONSORSHIP: Raisio Group, Raisio, Finland.", "author" : [ { "dropping-particle" : "", "family" : "Plat", "given" : "J", "non-dropping-particle" : "", "parse-names" : false, "suffix" : "" }, { "dropping-particle" : "", "family" : "Onselen", "given" : "E N M", "non-dropping-particle" : "van", "parse-names" : false, "suffix" : "" }, { "dropping-particle" : "", "family" : "Heugten", "given" : "M M A", "non-dropping-particle" : "van", "parse-names" : false, "suffix" : "" }, { "dropping-particle" : "", "family" : "Mensink", "given" : "R P", "non-dropping-particle" : "", "parse-names" : false, "suffix" : "" } ], "container-title" : "European Journal of Clinical Nutrition", "id" : "ITEM-1", "issue" : "9", "issued" : { "date-parts" : [ [ "2000", "9" ] ] }, "page" : "671-677", "title" : "Effects on serum lipids, lipoproteins and fat soluble antioxidant concentrations of consumption frequency of margarines and shortenings enriched with plant stanol esters", "type" : "article-journal", "volume" : "54" }, "uris" : [ "http://www.mendeley.com/documents/?uuid=891eafd6-9988-4290-884d-ba480a566427" ] }, { "id" : "ITEM-2", "itemData" : { "DOI" : "10.1016/j.nutres.2008.02.003", "ISBN" : "0271-5317", "ISSN" : "02715317", "PMID" : "19083411", "abstract" : "The aim of this review is to give a general contemporary overview of the physiologic effects of phytosterols and their role in cholesterol uptake in the intestinal tract. The mechanism of phytosterols action is based on its ability to reduce cholesterol absorption. Doses of 0.8 to 4.0 g/d of phytosterols were used to reduce low-density lipoprotein cholesterol concentrations by 10% to 15%, although most of the studies described used 2 g/d of phytosterol to achieve a reduction of 10% in low-density lipoprotein cholesterol concentrations. Although some studies point to the possibility that elevated plasma phytosterol concentrations could contribute to the development of premature coronary artery diseases, extensive safety evaluation studies have been conducted for these compounds, and they have been considered safe. \u00a9 2008 Elsevier Inc. All rights reserved.", "author" : [ { "dropping-particle" : "", "family" : "Brufau", "given" : "Gemma", "non-dropping-particle" : "", "parse-names" : false, "suffix" : "" }, { "dropping-particle" : "", "family" : "Canela", "given" : "Miguel Angel", "non-dropping-particle" : "", "parse-names" : false, "suffix" : "" }, { "dropping-particle" : "", "family" : "Rafecas", "given" : "Magda", "non-dropping-particle" : "", "parse-names" : false, "suffix" : "" } ], "container-title" : "Nutrition Research", "id" : "ITEM-2", "issue" : "4", "issued" : { "date-parts" : [ [ "2008", "4" ] ] }, "page" : "217-225", "title" : "Phytosterols: physiologic and metabolic aspects related to cholesterol-lowering properties", "type" : "article-journal", "volume" : "28" }, "uris" : [ "http://www.mendeley.com/documents/?uuid=ccbba366-93d3-45a2-8108-fecb20dd7dd3" ] }, { "id" : "ITEM-3", "itemData" : { "DOI" : "10.1016/S0021-9150(01)00562-7", "ISBN" : "00219150 (ISSN)", "ISSN" : "00219150", "PMID" : "11755939", "abstract" : "Oil-based products enriched with plant stanol esters can lower low-density lipoprotein (LDL) cholesterol concentrations by 10-14%. Effectiveness of low-fat products, however, has never been evaluated, although such products fit into a healthy diet. We therefore examined the effects of plant stanol esters emulsified into low-fat yoghurt (0.7% fat) on fasting concentrations of plasma lipids and lipid-soluble antioxidants, which may also change by plant stanol consumption. Sixty non-hypercholesterolemic subjects first consumed daily three cups (3 ?? 150 ml) of placebo yoghurt for 3 weeks. For the next 4 weeks, 30 subjects continued with the placebo yoghurt, while the other 30 subjects received three cups of experimental yoghurt. Each cup provided 1 g of plant stanols (0.71 g sitostanol plus 0.29 g campestanol) as its fatty acid ester. LDL cholesterol (mean ?? S.D.) increased by 0.06 ?? 0.21 mmol/l in the placebo group, but decreased by -0.34 ?? 0.30 mmol/l in the experimental group. The difference in changes between the two groups of 0.40 mmol or 13.7% was highly significant (P &lt; 0.001; 95% confidence interval for the difference, -0.26- -0.53 mmol/l). Effects were already maximal after 1 week. HDL cholesterol and triacylglycerol concentrations did not change. Total tocopherol levels increased by 1.43 ??mol/mmol LDL cholesterol (14.0%, P = 0.015). ??-carotene levels, however, decreased by -0.02 ??mol/mmol LDL cholesterol (-14.4%, P = 0.038). Decreases in absolute ??-carotene concentrations were found in all apoB-containing lipoproteins. LDL-cholesterol standardised phytofluene levels decreased by 21.4 ?? 25.7% (P &lt; 0.001), while other plasma carotenoid (lutein/zeaxanthin, ??-cryptoxanthin, lycopene and ??-carotene) levels did not change significantly. We conclude that low-fat yoghurt enriched with plant stanol esters lowers within 1 week LDL cholesterol to the same extent as oil-based products. LDL-cholesterol standardised concentrations of tocopherol increased. The observed decrease in ??-carotene levels, as found in many other studies, appears not to be limited to the LDL fraction. ?? 2002 Elsevier Science Ireland Ltd. All rights reserved.", "author" : [ { "dropping-particle" : "", "family" : "Mensink", "given" : "Ronald P.", "non-dropping-particle" : "", "parse-names" : false, "suffix" : "" }, { "dropping-particle" : "", "family" : "Ebbing", "given" : "Spike", "non-dropping-particle" : "", "parse-names" : false, "suffix" : "" }, { "dropping-particle" : "", "family" : "Lindhout", "given" : "Martijn", "non-dropping-particle" : "", "parse-names" : false, "suffix" : "" }, { "dropping-particle" : "", "family" : "Plat", "given" : "Jogchum", "non-dropping-particle" : "", "parse-names" : false, "suffix" : "" }, { "dropping-particle" : "", "family" : "Heugten", "given" : "Marjolien M.A", "non-dropping-particle" : "van", "parse-names" : false, "suffix" : "" } ], "container-title" : "Atherosclerosis", "id" : "ITEM-3", "issue" : "1", "issued" : { "date-parts" : [ [ "2002", "1" ] ] }, "page" : "205-213", "title" : "Effects of plant stanol esters supplied in low-fat yoghurt on serum lipids and lipoproteins, non-cholesterol sterols and fat soluble antioxidant concentrations", "type" : "article-journal", "volume" : "160" }, "uris" : [ "http://www.mendeley.com/documents/?uuid=c2912f6e-cf1b-4f23-bee8-f358e20b5e91" ] }, { "id" : "ITEM-4", "itemData" : { "DOI" : "10.1185/03007995.2014.890924", "ISSN" : "0300-7995", "PMID" : "24502771", "abstract" : "Abstract Aims: Assess the evolution of cardiovascular lifestyle behaviors in hypercholesterolemic patients concomitantly with changes in their daily intake of phytosterol-supplemented yoghurt (Phyto-SY). Methods: Nationwide prospective observational study conducted in general practices across France and Spain. Each practitioner suggested lifestyle changes to five consecutive patients with hypercholesterolemia (whether or not they were taking hypocholesterolemic drugs) and recommended daily consumption of Phyto-SY. The study design involved an inclusion visit, a patient's self-monitoring assessment after 1 month, and a final visit after 4 months. Primary evaluation criterion: changes in dietary habits assessed by a standardized Nutritional Lifestyle score. Secondary criteria: changes in lipid profile, anthropometry (waist circumference) and lifestyle behavior. Results: A total of 2376 hypercholesterolemic patients (of whom 54.8% were women) were included. The average age was 56.2 years old. The Nutritional Lifestyle score improved from 15.4 \u00b1 5.4 to 8.7 \u00b1 4.0 (p &lt; 0.0001). Total cholesterol decreased by 10.6% (&lt;0.0001), HDL-C increased by 8.0% (&lt;0.0001), and LDL-C fell by 12.7% (&lt;0.0001). Similar results were observed in patients treated with statins and those who were not. Frequency of walking (&gt;30 min) increased from 59.3% to 78.3% (p &lt; 0.0001). The overweight rate decreased from 22.8% to 17.5% (p &lt; 0.0001) and waist circumference from 94.6 \u00b1 13.3 cm to 93.0 \u00b1 12.8 cm (p &lt; 0.0001). Nutritional Lifestyles and other lifestyle markers' improvement were parallel to adherence to Phyto-SY adherence. Conclusion: Improvements in Nutritional Lifestyle scores, which included regular consumption of Phyto-SY over 4 months, was significantly linked to healthier lifestyles and to beneficial modifications in atherogenic lipid profiles, which reflected patient empowerment in a 'real life' context.", "author" : [ { "dropping-particle" : "", "family" : "Bruckert", "given" : "E", "non-dropping-particle" : "", "parse-names" : false, "suffix" : "" }, { "dropping-particle" : "", "family" : "Masana", "given" : "L", "non-dropping-particle" : "", "parse-names" : false, "suffix" : "" }, { "dropping-particle" : "", "family" : "Chapman", "given" : "M.J.", "non-dropping-particle" : "", "parse-names" : false, "suffix" : "" }, { "dropping-particle" : "", "family" : "Descamps", "given" : "O", "non-dropping-particle" : "", "parse-names" : false, "suffix" : "" }, { "dropping-particle" : "", "family" : "Bosi", "given" : "E", "non-dropping-particle" : "", "parse-names" : false, "suffix" : "" }, { "dropping-particle" : "", "family" : "Allaert", "given" : "F.A.", "non-dropping-particle" : "", "parse-names" : false, "suffix" : "" } ], "container-title" : "Current Medical Research and Opinion", "id" : "ITEM-4", "issue" : "7", "issued" : { "date-parts" : [ [ "2014", "7", "20" ] ] }, "page" : "1309-1316", "title" : "Dietary supplementation contributes to lifestyle improvement in hypercholesterolemic patients in real-life contexts", "type" : "article-journal", "volume" : "30" }, "uris" : [ "http://www.mendeley.com/documents/?uuid=567591ca-6091-42f2-9d46-ef29b1066b37" ] } ], "mendeley" : { "formattedCitation" : "(Plat et al. 2000; Mensink et al. 2002; Brufau et al. 2008; Bruckert et al. 2014)", "plainTextFormattedCitation" : "(Plat et al. 2000; Mensink et al. 2002; Brufau et al. 2008; Bruckert et al. 2014)", "previouslyFormattedCitation" : "(Plat et al. 2000; Mensink et al. 2002; Brufau et al. 2008; Bruckert et al. 2014)" }, "properties" : { "noteIndex" : 0 }, "schema" : "https://github.com/citation-style-language/schema/raw/master/csl-citation.json" }</w:instrText>
      </w:r>
      <w:r w:rsidRPr="00547FB5">
        <w:rPr>
          <w:lang w:val="en-GB"/>
        </w:rPr>
        <w:fldChar w:fldCharType="separate"/>
      </w:r>
      <w:r w:rsidRPr="00547FB5">
        <w:rPr>
          <w:noProof/>
          <w:lang w:val="en-GB"/>
        </w:rPr>
        <w:t>(Plat et al. 2000; Mensink et al. 2002; Brufau et al. 2008; Bruckert et al. 2014)</w:t>
      </w:r>
      <w:r w:rsidRPr="00547FB5">
        <w:rPr>
          <w:lang w:val="en-GB"/>
        </w:rPr>
        <w:fldChar w:fldCharType="end"/>
      </w:r>
      <w:r w:rsidRPr="00547FB5">
        <w:rPr>
          <w:lang w:val="en-GB"/>
        </w:rPr>
        <w:t>.</w:t>
      </w:r>
      <w:r w:rsidR="00724D8F">
        <w:rPr>
          <w:lang w:val="en-GB"/>
        </w:rPr>
        <w:br w:type="page"/>
      </w:r>
    </w:p>
    <w:p w14:paraId="63ADDA71" w14:textId="6F6C456C" w:rsidR="0051780C" w:rsidRPr="00F935CA" w:rsidRDefault="0051780C" w:rsidP="00B14D36">
      <w:pPr>
        <w:pStyle w:val="Heading2"/>
      </w:pPr>
      <w:bookmarkStart w:id="246" w:name="_Toc463507652"/>
      <w:bookmarkStart w:id="247" w:name="_Toc463881793"/>
      <w:bookmarkStart w:id="248" w:name="_Toc464569648"/>
      <w:bookmarkStart w:id="249" w:name="_Toc466903391"/>
      <w:bookmarkStart w:id="250" w:name="_Toc466909056"/>
      <w:bookmarkStart w:id="251" w:name="_Toc466986172"/>
      <w:bookmarkStart w:id="252" w:name="_Toc466986225"/>
      <w:bookmarkStart w:id="253" w:name="_Toc467052891"/>
      <w:bookmarkStart w:id="254" w:name="_Toc467064043"/>
      <w:bookmarkStart w:id="255" w:name="_Toc467064490"/>
      <w:bookmarkStart w:id="256" w:name="_Toc467077497"/>
      <w:bookmarkStart w:id="257" w:name="_Toc477274223"/>
      <w:r w:rsidRPr="00F935CA">
        <w:lastRenderedPageBreak/>
        <w:t>4.1</w:t>
      </w:r>
      <w:r w:rsidRPr="00F935CA">
        <w:tab/>
        <w:t>Absor</w:t>
      </w:r>
      <w:r w:rsidR="000E6116">
        <w:t>ption of plant sterols and</w:t>
      </w:r>
      <w:r w:rsidRPr="00F935CA">
        <w:t xml:space="preserve"> proposed mode of hypocholesterol</w:t>
      </w:r>
      <w:r w:rsidR="000E1E1A">
        <w:t>a</w:t>
      </w:r>
      <w:r w:rsidRPr="00F935CA">
        <w:t>emic action</w:t>
      </w:r>
      <w:bookmarkEnd w:id="246"/>
      <w:bookmarkEnd w:id="247"/>
      <w:bookmarkEnd w:id="248"/>
      <w:bookmarkEnd w:id="249"/>
      <w:bookmarkEnd w:id="250"/>
      <w:bookmarkEnd w:id="251"/>
      <w:bookmarkEnd w:id="252"/>
      <w:bookmarkEnd w:id="253"/>
      <w:bookmarkEnd w:id="254"/>
      <w:bookmarkEnd w:id="255"/>
      <w:bookmarkEnd w:id="256"/>
      <w:bookmarkEnd w:id="257"/>
    </w:p>
    <w:p w14:paraId="1FA202AF" w14:textId="77777777" w:rsidR="0051780C" w:rsidRPr="00547FB5" w:rsidRDefault="0051780C" w:rsidP="0051780C">
      <w:pPr>
        <w:rPr>
          <w:lang w:val="en-GB" w:eastAsia="en-AU" w:bidi="ar-SA"/>
        </w:rPr>
      </w:pPr>
      <w:r w:rsidRPr="00547FB5">
        <w:rPr>
          <w:lang w:val="en-GB" w:eastAsia="en-AU" w:bidi="ar-SA"/>
        </w:rPr>
        <w:t xml:space="preserve">Cholesterol homeostasis in humans has been well-studied with pathways for cholesterol biosynthesis and excretion fully described </w:t>
      </w:r>
      <w:r w:rsidRPr="00547FB5">
        <w:rPr>
          <w:lang w:val="en-GB" w:eastAsia="en-AU" w:bidi="ar-SA"/>
        </w:rPr>
        <w:fldChar w:fldCharType="begin" w:fldLock="1"/>
      </w:r>
      <w:r w:rsidRPr="00547FB5">
        <w:rPr>
          <w:lang w:val="en-GB" w:eastAsia="en-AU" w:bidi="ar-SA"/>
        </w:rPr>
        <w:instrText>ADDIN CSL_CITATION { "citationItems" : [ { "id" : "ITEM-1", "itemData" : { "DOI" : "10.1016/j.mce.2012.06.007", "ISBN" : "0001801108575", "ISSN" : "03037207", "PMID" : "22721653", "abstract" : "Hypercholesterolemia is an important risk factor for cardiovascular disease. It is caused by a disturbed balance between cholesterol secretion into the blood versus uptake. The pathways involved are regulated via a complex interplay of enzymes, transport proteins, transcription factors and non-coding RNA's. The last two decades insight into underlying mechanisms has increased vastly but there are still a lot of unknowns, particularly regarding intracellular cholesterol transport. After decades of concentration on the liver, in recent years the intestine has come into focus as an important control point in cholesterol homeostasis. This review will discuss current knowledge of cholesterol physiology, with emphasis on cholesterol absorption, cholesterol synthesis and fecal excretion, and new (possible) therapeutic options for hypercholesterolemia. ?? 2012 Elsevier Ireland Ltd.", "author" : [ { "dropping-particle" : "", "family" : "Wulp", "given" : "Mari??tte Y M", "non-dropping-particle" : "Van Der", "parse-names" : false, "suffix" : "" }, { "dropping-particle" : "", "family" : "Verkade", "given" : "Henkjan J.", "non-dropping-particle" : "", "parse-names" : false, "suffix" : "" }, { "dropping-particle" : "", "family" : "Groen", "given" : "Albert K.", "non-dropping-particle" : "", "parse-names" : false, "suffix" : "" } ], "container-title" : "Molecular and Cellular Endocrinology", "id" : "ITEM-1", "issue" : "1-2", "issued" : { "date-parts" : [ [ "2013" ] ] }, "page" : "1-16", "title" : "Regulation of cholesterol homeostasis", "type" : "article", "volume" : "368" }, "uris" : [ "http://www.mendeley.com/documents/?uuid=baecad0a-7cef-4d45-ac2d-b872374f7fa7" ] }, { "id" : "ITEM-2", "itemData" : { "DOI" : "10.1161/ATVBAHA.108.181206", "ISBN" : "1524-4636 (Electronic)\\r1079-5642 (Linking)", "ISSN" : "10795642", "PMID" : "21571685", "abstract" : "Reverse cholesterol transport (RCT) is usually defined as high-density lipoprotein-mediated transport of excess cholesterol from peripheral tissues, including cholesterol-laden macrophages in vessel walls, to the liver. From the liver, cholesterol can then be removed from the body via secretion into the bile for eventual disposal via the feces. According to this paradigm, high plasma high-density lipoprotein levels accelerate RCT and hence are atheroprotective. New insights in individual steps of the RCT pathway, in part derived from innovative mouse models, indicate that the classical concept of RCT may require modification.", "author" : [ { "dropping-particle" : "", "family" : "Brufau", "given" : "Gemma", "non-dropping-particle" : "", "parse-names" : false, "suffix" : "" }, { "dropping-particle" : "", "family" : "Groen", "given" : "Albert K.", "non-dropping-particle" : "", "parse-names" : false, "suffix" : "" }, { "dropping-particle" : "", "family" : "Kuipers", "given" : "Folkert", "non-dropping-particle" : "", "parse-names" : false, "suffix" : "" } ], "container-title" : "Arteriosclerosis, Thrombosis, and Vascular Biology", "id" : "ITEM-2", "issue" : "8", "issued" : { "date-parts" : [ [ "2011" ] ] }, "page" : "1726-1733", "title" : "Reverse cholesterol transport revisited: Contribution of biliary versus intestinal cholesterol excretion", "type" : "article-journal", "volume" : "31" }, "uris" : [ "http://www.mendeley.com/documents/?uuid=a26e041a-06c3-4ddf-a6f0-1382661b3839" ] } ], "mendeley" : { "formattedCitation" : "(Brufau et al. 2011; Van Der Wulp et al. 2013)", "plainTextFormattedCitation" : "(Brufau et al. 2011; Van Der Wulp et al. 2013)", "previouslyFormattedCitation" : "(Brufau et al. 2011; Van Der Wulp et al. 2013)"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(Brufau et al. 2011; Van Der Wulp et al. 2013)</w:t>
      </w:r>
      <w:r w:rsidRPr="00547FB5">
        <w:rPr>
          <w:lang w:val="en-GB" w:eastAsia="en-AU" w:bidi="ar-SA"/>
        </w:rPr>
        <w:fldChar w:fldCharType="end"/>
      </w:r>
      <w:r w:rsidRPr="00547FB5">
        <w:rPr>
          <w:lang w:val="en-GB" w:eastAsia="en-AU" w:bidi="ar-SA"/>
        </w:rPr>
        <w:t xml:space="preserve">. Cholesterol from both the diet and bile is absorbed in the small intestine and regulated by cellular receptors in the enterocytes </w:t>
      </w:r>
      <w:r w:rsidRPr="00547FB5">
        <w:rPr>
          <w:lang w:val="en-GB" w:eastAsia="en-AU" w:bidi="ar-SA"/>
        </w:rPr>
        <w:fldChar w:fldCharType="begin" w:fldLock="1"/>
      </w:r>
      <w:r w:rsidRPr="00547FB5">
        <w:rPr>
          <w:lang w:val="en-GB" w:eastAsia="en-AU" w:bidi="ar-SA"/>
        </w:rPr>
        <w:instrText>ADDIN CSL_CITATION { "citationItems" : [ { "id" : "ITEM-1", "itemData" : { "DOI" : "10.1074/jbc.M109927200", "ISBN" : "0021-9258 (Print)\\r0021-9258 (Linking)", "ISSN" : "00219258", "PMID" : "11901146", "abstract" : "Mutations in the ATP-binding cassette (ABC) transporters ABCG5 and ABCG8 have recently been shown to cause the autosomal recessive disorder sitosterolemia. Here we demonstrate that the ABCG5 and ABCG8 genes are direct targets of the oxysterol receptors liver X receptor (LXR) alpha and LXRbeta. Diets containing high cholesterol markedly increased the expression of ABCG5/G8 mRNA in mouse liver and intestine. This increase was also observed using synthetic ligands of LXR and its heterodimeric partner, the retinoid X receptor. In situ hybridization analyses of tissues from LXR agonist-treated mice revealed that ABCG5/G8 mRNA is located in hepatocytes and enterocytes and is increased upon LXR activation. In addition, expression of the LXR target gene ABCA1, previously implicated in the control of cholesterol absorption, was also dramatically up-regulated in jejunal enterocytes upon exposure to LXR agonists. These changes in ABC transporter gene expression were not observed in mice lacking LXRs. Furthermore, in the rat hepatoma cell line FTO2B, LXR-dependent transcription of the ABCG5/G8 genes was cycloheximide-resistant, indicating that these genes are directly regulated by LXRs. The addition of ABCG5 and ABCG8 to the growing list of LXR target genes further supports the notion that LXRs serve as sterol sensors to coordinately regulate sterol catabolism, storage, efflux, and elimination.", "author" : [ { "dropping-particle" : "", "family" : "Repa", "given" : "Joyce J.", "non-dropping-particle" : "", "parse-names" : false, "suffix" : "" }, { "dropping-particle" : "", "family" : "Berge", "given" : "Knut E.", "non-dropping-particle" : "", "parse-names" : false, "suffix" : "" }, { "dropping-particle" : "", "family" : "Pomajzl", "given" : "Chris", "non-dropping-particle" : "", "parse-names" : false, "suffix" : "" }, { "dropping-particle" : "", "family" : "Richardson", "given" : "James A.", "non-dropping-particle" : "", "parse-names" : false, "suffix" : "" }, { "dropping-particle" : "", "family" : "Hobbs", "given" : "Helen", "non-dropping-particle" : "", "parse-names" : false, "suffix" : "" }, { "dropping-particle" : "", "family" : "Mangelsdorf", "given" : "David J.", "non-dropping-particle" : "", "parse-names" : false, "suffix" : "" } ], "container-title" : "Journal of Biological Chemistry", "id" : "ITEM-1", "issue" : "21", "issued" : { "date-parts" : [ [ "2002" ] ] }, "page" : "18793-18800", "title" : "Regulation of ATP-binding cassette sterol transporters ABCG5 and ABCG8 by the liver X receptors ?? and ??", "type" : "article-journal", "volume" : "277" }, "uris" : [ "http://www.mendeley.com/documents/?uuid=61df3ef1-f258-4057-94bb-3bcda582ec2d" ] }, { "id" : "ITEM-2", "itemData" : { "DOI" : "10.1146/annurev-nutr-071714-034338", "ISBN" : "1545-4312", "ISSN" : "0199-9885", "PMID" : "25974693", "abstract" : "Dietary lipids are efficiently absorbed by the small intestine, incorporated into triglyceride-rich lipoproteins (chylomicrons), and transported inthe cir- culation to various tissues. Intestinal lipid absorption and mobilization and chylomicron synthesis and secretion are highly regulated processes. Elevated chylomicron production rate contributes to the dyslipidemia seen in com- mon metabolic disorders such as insulin-resistant states and type 2 diabetes and likely increases the risk for atherosclerosis seen in these conditions. An in-depth understanding of the regulation of chylomicron production may provide leads for the development of drugs that could be of therapeutic utility in the prevention of dyslipidemia and atherosclerosis. Chylomicron secretion is subject to regulation by various factors, including diet, body weight, genetic variants, hormones, nutraceuticals, medications, and emerg- ing interventions such as bariatric surgical procedures. In this review we discuss the regulation of chylomicron production,mechanisms that underlie chylomicron dysregulation, and potential avenues for future research.", "author" : [ { "dropping-particle" : "", "family" : "Dash", "given" : "Satya", "non-dropping-particle" : "", "parse-names" : false, "suffix" : "" }, { "dropping-particle" : "", "family" : "Xiao", "given" : "Changting", "non-dropping-particle" : "", "parse-names" : false, "suffix" : "" }, { "dropping-particle" : "", "family" : "Morgantini", "given" : "Cecilia", "non-dropping-particle" : "", "parse-names" : false, "suffix" : "" }, { "dropping-particle" : "", "family" : "Lewis", "given" : "Gary F.", "non-dropping-particle" : "", "parse-names" : false, "suffix" : "" } ], "container-title" : "Annual Review of Nutrition", "id" : "ITEM-2", "issue" : "1", "issued" : { "date-parts" : [ [ "2015" ] ] }, "page" : "265-294", "title" : "New Insights into the Regulation of Chylomicron Production", "type" : "article-journal", "volume" : "35" }, "uris" : [ "http://www.mendeley.com/documents/?uuid=93150a64-e070-43e9-95ae-998cdabad70d" ] }, { "id" : "ITEM-3", "itemData" : { "DOI" : "10.1371/journal.pone.0010380", "ISBN" : "1932-6203 (Electronic) 1932-6203 (Linking)", "ISSN" : "19326203", "PMID" : "20454462", "abstract" : "BACKGROUND: Protein distribution profiles along the human intestinal tract of transporters involved in the absorption of cholesterol and long-chain fatty acids (LCFA) have been scarcely evaluated.\\n\\nMETHODOLOGY/PRINCIPAL FINDINGS: In post-mortem samples from 11 subjects, intestinal transporter distribution profiles were determined via Western Blot. Differences in transporter protein levels were statistically tested using ANOVA and Tukey's Post Hoc comparisons. Levels in all segments were expressed relative to those in duodenum. Except for ABCG5 and FATP4, levels (mean+/-SEM) were the highest in the ileum. For ABCA1, ileal levels (1.80+/-0.26) differed significantly from those in duodenum (P = 0.049) and proximal colon (0.92+/-0.14; P = 0.029). ABCG8 levels in ileum (1.91+/-0.30) differed from those in duodenum (P = 0.041) and distal colon (0.84+/-0.22; P = 0.010) and jejunum (1.64+/-0.26) tended to be higher than distal colon (0.84+/-0.22; P = 0.087). Ileal NPC1L1 levels (2.56+/-0.51) differed from duodenum levels (P = 0.019) and from distal colon (1.09+/-0.22; P = 0.030). There was also a trend (P = 0.098) for higher jejunal (2.23+/-0.37) than duodenal NPC1L1 levels. The levels of ABCG5 did not correlate with those of ABCG8. FAT/CD36 levels in ileum (2.03+/-0.42) differed from those in duodenum (P = 0.017), and proximal and distal colon (0.89+/-0.13 and 0.97+/-0.15 respectively; P = 0.011 and P = 0.014). FABPpm levels in ileum (1.04+/-0.13) differed from proximal (0.64+/-0.07; P = 0.026) and distal colon (0.66+/-0.09; P = 0.037).\\n\\nCONCLUSIONS/SIGNIFICANCE: The distribution profiles showed a bell-shape pattern along the GI-tract with the highest levels in ileum for ABCA1, ABCG8, NPC1L1, FATCD36 and FABPm, suggesting a prominent role for ileum in transporter-mediated uptake of cholesterol and LCFAs.", "author" : [ { "dropping-particle" : "", "family" : "Masson", "given" : "Christiaan J.", "non-dropping-particle" : "", "parse-names" : false, "suffix" : "" }, { "dropping-particle" : "", "family" : "Plat", "given" : "Jogchum", "non-dropping-particle" : "", "parse-names" : false, "suffix" : "" }, { "dropping-particle" : "", "family" : "Mensink", "given" : "Ronald P.", "non-dropping-particle" : "", "parse-names" : false, "suffix" : "" }, { "dropping-particle" : "", "family" : "Namiot", "given" : "Andrzej", "non-dropping-particle" : "", "parse-names" : false, "suffix" : "" }, { "dropping-particle" : "", "family" : "Kisielewski", "given" : "Wojciech", "non-dropping-particle" : "", "parse-names" : false, "suffix" : "" }, { "dropping-particle" : "", "family" : "Namiot", "given" : "Zbigniew", "non-dropping-particle" : "", "parse-names" : false, "suffix" : "" }, { "dropping-particle" : "", "family" : "F\u00fcllekrug", "given" : "Joachim", "non-dropping-particle" : "", "parse-names" : false, "suffix" : "" }, { "dropping-particle" : "", "family" : "Ehehalt", "given" : "Robert", "non-dropping-particle" : "", "parse-names" : false, "suffix" : "" }, { "dropping-particle" : "", "family" : "Glatz", "given" : "Jan F C", "non-dropping-particle" : "", "parse-names" : false, "suffix" : "" }, { "dropping-particle" : "", "family" : "Pelsers", "given" : "Maurice M A L", "non-dropping-particle" : "", "parse-names" : false, "suffix" : "" } ], "container-title" : "PLoS ONE", "id" : "ITEM-3", "issue" : "4", "issued" : { "date-parts" : [ [ "2010" ] ] }, "title" : "Fatty acid- and cholesterol transporter protein expression along the human intestinal tract", "type" : "article-journal", "volume" : "5" }, "uris" : [ "http://www.mendeley.com/documents/?uuid=3843301a-a154-40fe-8a98-3a2920ce1aa9" ] } ], "mendeley" : { "formattedCitation" : "(Repa et al. 2002; Masson et al. 2010; Dash et al. 2015)", "plainTextFormattedCitation" : "(Repa et al. 2002; Masson et al. 2010; Dash et al. 2015)", "previouslyFormattedCitation" : "(Repa et al. 2002; Masson et al. 2010; Dash et al. 2015)"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(Repa et al. 2002; Masson et al. 2010; Dash et al. 2015)</w:t>
      </w:r>
      <w:r w:rsidRPr="00547FB5">
        <w:rPr>
          <w:lang w:val="en-GB" w:eastAsia="en-AU" w:bidi="ar-SA"/>
        </w:rPr>
        <w:fldChar w:fldCharType="end"/>
      </w:r>
      <w:r w:rsidRPr="00547FB5">
        <w:rPr>
          <w:lang w:val="en-GB" w:eastAsia="en-AU" w:bidi="ar-SA"/>
        </w:rPr>
        <w:t>.</w:t>
      </w:r>
    </w:p>
    <w:p w14:paraId="254DC10D" w14:textId="77777777" w:rsidR="0051780C" w:rsidRPr="00547FB5" w:rsidRDefault="0051780C" w:rsidP="0051780C">
      <w:pPr>
        <w:rPr>
          <w:lang w:val="en-GB" w:eastAsia="en-AU" w:bidi="ar-SA"/>
        </w:rPr>
      </w:pPr>
    </w:p>
    <w:p w14:paraId="32F3E285" w14:textId="521A5232" w:rsidR="0051780C" w:rsidRPr="00547FB5" w:rsidRDefault="0051780C" w:rsidP="009D207E">
      <w:pPr>
        <w:rPr>
          <w:lang w:val="en-GB" w:eastAsia="en-AU" w:bidi="ar-SA"/>
        </w:rPr>
      </w:pPr>
      <w:r w:rsidRPr="00552334">
        <w:rPr>
          <w:rFonts w:ascii="ArialMT" w:hAnsi="ArialMT" w:cs="ArialMT"/>
          <w:szCs w:val="22"/>
          <w:lang w:val="en-GB" w:eastAsia="en-GB" w:bidi="ar-SA"/>
        </w:rPr>
        <w:t>Current evidence suggests that cholesterol and plant sterol absorption occurs by multiple mechanisms and is possibly a multi</w:t>
      </w:r>
      <w:r w:rsidRPr="00E10D8F">
        <w:rPr>
          <w:rFonts w:ascii="ArialMT" w:hAnsi="ArialMT" w:cs="ArialMT"/>
          <w:szCs w:val="22"/>
          <w:lang w:val="en-GB" w:eastAsia="en-GB" w:bidi="ar-SA"/>
        </w:rPr>
        <w:t>-</w:t>
      </w:r>
      <w:r w:rsidRPr="00552334">
        <w:rPr>
          <w:rFonts w:ascii="ArialMT" w:hAnsi="ArialMT" w:cs="ArialMT"/>
          <w:szCs w:val="22"/>
          <w:lang w:val="en-GB" w:eastAsia="en-GB" w:bidi="ar-SA"/>
        </w:rPr>
        <w:t xml:space="preserve">step process regulated by multiple genes at the enterocyte level </w:t>
      </w:r>
      <w:r w:rsidRPr="00E10D8F">
        <w:rPr>
          <w:rFonts w:ascii="ArialMT" w:hAnsi="ArialMT" w:cs="ArialMT"/>
          <w:szCs w:val="22"/>
          <w:lang w:val="en-GB" w:eastAsia="en-GB" w:bidi="ar-SA"/>
        </w:rPr>
        <w:fldChar w:fldCharType="begin" w:fldLock="1"/>
      </w:r>
      <w:r w:rsidRPr="00552334">
        <w:rPr>
          <w:rFonts w:ascii="ArialMT" w:hAnsi="ArialMT" w:cs="ArialMT"/>
          <w:szCs w:val="22"/>
          <w:lang w:val="en-GB" w:eastAsia="en-GB" w:bidi="ar-SA"/>
        </w:rPr>
        <w:instrText>ADDIN CSL_CITATION { "citationItems" : [ { "id" : "ITEM-1", "itemData" : { "DOI" : "10.1194/jlr.R300008-JLR200", "ISBN" : "0022-2275 (Print) 0022-2275 (Linking)", "ISSN" : "0022-2275", "PMID" : "12897193", "abstract" : "The molecular basis of the processes that control two closely related traits, the absorption of cholesterol from the intestines and plasma plant sterol levels, are only partially understood. The discovery that mutations in two novel hemitransporters, ATP binding cassette transporter G5 (ABCG5) and ABCG8, underlie a rare inborn error in plant sterol metabolism, beta-sitosterolemia, represents a major breakthrough in this field. More recently, genetic studies in the mouse that mapped loci in linkage with cholesterol absorption and plasma plant sterol levels and studies in humans that examined the relationship of plasma plant sterol levels to sequence variation in the ABCG5/ABCG8 locus suggested the involvement of other genes. Moreover, studies in beta-sitosterolemic patients, in ABCG5/ABCG8-targeted animals, and on a newly developed cholesterol absorption inhibitor, ezetimibe, suggest commonalities and differences in the regulation of the two traits. This review summarizes the evidence for genetic control of cholesterol absorption and plasma plant sterol levels, presents the evidence for commonalities and differences between the two traits, and discusses recent developments and future perspectives in this field.", "author" : [ { "dropping-particle" : "", "family" : "Sehayek", "given" : "Ephraim", "non-dropping-particle" : "", "parse-names" : false, "suffix" : "" } ], "container-title" : "Journal of Lipid Research", "id" : "ITEM-1", "issue" : "11", "issued" : { "date-parts" : [ [ "2003", "8", "1" ] ] }, "page" : "2030-2038", "title" : "Genetic regulation of cholesterol absorption and plasma plant sterol levels: commonalities and differences", "type" : "article-journal", "volume" : "44" }, "uris" : [ "http://www.mendeley.com/documents/?uuid=6a2d9769-5345-4834-bb63-a5a9e1cb4bcc" ] }, { "id" : "ITEM-2", "itemData" : { "DOI" : "10.1016/j.nutres.2008.02.003", "ISBN" : "0271-5317", "ISSN" : "02715317", "PMID" : "19083411", "abstract" : "The aim of this review is to give a general contemporary overview of the physiologic effects of phytosterols and their role in cholesterol uptake in the intestinal tract. The mechanism of phytosterols action is based on its ability to reduce cholesterol absorption. Doses of 0.8 to 4.0 g/d of phytosterols were used to reduce low-density lipoprotein cholesterol concentrations by 10% to 15%, although most of the studies described used 2 g/d of phytosterol to achieve a reduction of 10% in low-density lipoprotein cholesterol concentrations. Although some studies point to the possibility that elevated plasma phytosterol concentrations could contribute to the development of premature coronary artery diseases, extensive safety evaluation studies have been conducted for these compounds, and they have been considered safe. \u00a9 2008 Elsevier Inc. All rights reserved.", "author" : [ { "dropping-particle" : "", "family" : "Brufau", "given" : "Gemma", "non-dropping-particle" : "", "parse-names" : false, "suffix" : "" }, { "dropping-particle" : "", "family" : "Canela", "given" : "Miguel Angel", "non-dropping-particle" : "", "parse-names" : false, "suffix" : "" }, { "dropping-particle" : "", "family" : "Rafecas", "given" : "Magda", "non-dropping-particle" : "", "parse-names" : false, "suffix" : "" } ], "container-title" : "Nutrition Research", "id" : "ITEM-2", "issue" : "4", "issued" : { "date-parts" : [ [ "2008", "4" ] ] }, "page" : "217-225", "title" : "Phytosterols: physiologic and metabolic aspects related to cholesterol-lowering properties", "type" : "article-journal", "volume" : "28" }, "uris" : [ "http://www.mendeley.com/documents/?uuid=ccbba366-93d3-45a2-8108-fecb20dd7dd3" ] }, { "id" : "ITEM-3", "itemData" : { "DOI" : "10.1016/j.atherosclerosis.2008.06.026", "ISBN" : "1879-1484 (Electronic)\\r0021-9150 (Linking)", "ISSN" : "00219150", "PMID" : "18692849", "abstract" : "Plant sterols and stanols (phytosterols/phytostanols) are known to reduce serum low-density lipoprotein (LDL)-cholesterol level, and food products containing these plant compounds are widely used as a therapeutic dietary option to reduce plasma cholesterol and atherosclerotic risk. The cholesterol-lowering action of phytosterols/phytostanols is thought to occur, at least in part, through competition with dietary and biliary cholesterol for intestinal absorption in mixed micelles. However, recent evidence suggests that phytosterols/phytostanols may regulate proteins implicated in cholesterol metabolism both in enterocytes and hepatocytes. Important advances in the understanding of intestinal sterol absorption have provided potential molecular targets of phytosterols. An increased activity of ATP-binding cassette transporter A1 (ABCA1) and ABCG5/G8 heterodimer has been proposed as a mechanism underlying the hypocholesterolaemic effect of phytosterols. Conclusive studies using ABCA1 and ABCG5/G8-deficient mice have demonstrated that the phytosterol-mediated inhibition of intestinal cholesterol absorption is independent of these ATP-binding cassette (ABC) transporters. Other reports have proposed a phytosterol/phytostanol action on cholesterol esterification and lipoprotein assembly, cholesterol synthesis and apolipoprotein (apo) B100-containing lipoprotein removal. The accumulation of phytosterols in ABCG5/G8-deficient mice, which develop features of human sitosterolaemia, disrupts cholesterol homeostasis by affecting sterol regulatory element-binding protein (SREBP)-2 processing and liver X receptor (LXR) regulatory pathways. This article reviews the progress to date in studying these effects of phytosterols/phytostanols and the molecular mechanisms involved. \u00a9 2008 Elsevier Ireland Ltd. All rights reserved.", "author" : [ { "dropping-particle" : "", "family" : "Calpe-Berdiel", "given" : "Laura", "non-dropping-particle" : "", "parse-names" : false, "suffix" : "" }, { "dropping-particle" : "", "family" : "Escol\u00e0-Gil", "given" : "Joan Carles", "non-dropping-particle" : "", "parse-names" : false, "suffix" : "" }, { "dropping-particle" : "", "family" : "Blanco-Vaca", "given" : "Francisco", "non-dropping-particle" : "", "parse-names" : false, "suffix" : "" } ], "container-title" : "Atherosclerosis", "id" : "ITEM-3", "issue" : "1", "issued" : { "date-parts" : [ [ "2009", "3" ] ] }, "page" : "18-31", "title" : "New insights into the molecular actions of plant sterols and stanols in cholesterol metabolism", "type" : "article-journal", "volume" : "203" }, "uris" : [ "http://www.mendeley.com/documents/?uuid=85ff808c-e46c-49ee-8967-b53f7d1d98bf" ] } ], "mendeley" : { "formattedCitation" : "(Sehayek 2003; Brufau et al. 2008; Calpe-Berdiel et al. 2009)", "plainTextFormattedCitation" : "(Sehayek 2003; Brufau et al. 2008; Calpe-Berdiel et al. 2009)", "previouslyFormattedCitation" : "(Sehayek 2003; Brufau et al. 2008; Calpe-Berdiel et al. 2009)" }, "properties" : { "noteIndex" : 0 }, "schema" : "https://github.com/citation-style-language/schema/raw/master/csl-citation.json" }</w:instrText>
      </w:r>
      <w:r w:rsidRPr="00E10D8F">
        <w:rPr>
          <w:rFonts w:ascii="ArialMT" w:hAnsi="ArialMT" w:cs="ArialMT"/>
          <w:szCs w:val="22"/>
          <w:lang w:val="en-GB" w:eastAsia="en-GB" w:bidi="ar-SA"/>
        </w:rPr>
        <w:fldChar w:fldCharType="separate"/>
      </w:r>
      <w:r w:rsidRPr="00E10D8F">
        <w:rPr>
          <w:rFonts w:ascii="ArialMT" w:hAnsi="ArialMT" w:cs="ArialMT"/>
          <w:noProof/>
          <w:szCs w:val="22"/>
          <w:lang w:val="en-GB" w:eastAsia="en-GB" w:bidi="ar-SA"/>
        </w:rPr>
        <w:t xml:space="preserve">(Sehayek 2003; Brufau et al. 2008; Calpe-Berdiel et al. </w:t>
      </w:r>
      <w:r w:rsidRPr="00552334">
        <w:rPr>
          <w:rFonts w:ascii="ArialMT" w:hAnsi="ArialMT" w:cs="ArialMT"/>
          <w:noProof/>
          <w:szCs w:val="22"/>
          <w:lang w:val="en-GB" w:eastAsia="en-GB" w:bidi="ar-SA"/>
        </w:rPr>
        <w:t>2009)</w:t>
      </w:r>
      <w:r w:rsidRPr="00E10D8F">
        <w:rPr>
          <w:rFonts w:ascii="ArialMT" w:hAnsi="ArialMT" w:cs="ArialMT"/>
          <w:szCs w:val="22"/>
          <w:lang w:val="en-GB" w:eastAsia="en-GB" w:bidi="ar-SA"/>
        </w:rPr>
        <w:fldChar w:fldCharType="end"/>
      </w:r>
      <w:r w:rsidRPr="00552334">
        <w:rPr>
          <w:rFonts w:ascii="ArialMT" w:hAnsi="ArialMT" w:cs="ArialMT"/>
          <w:szCs w:val="22"/>
          <w:lang w:val="en-GB" w:eastAsia="en-GB" w:bidi="ar-SA"/>
        </w:rPr>
        <w:t>.</w:t>
      </w:r>
      <w:r w:rsidRPr="00547FB5">
        <w:rPr>
          <w:lang w:val="en-GB" w:eastAsia="en-AU" w:bidi="ar-SA"/>
        </w:rPr>
        <w:t xml:space="preserve"> Competition between cholesterol and plant sterols for incorporation into mixed micelles has been proposed as the primary mechanism for the cholesterol reduction effect of these phytochemicals. When simultaneously present in the intestinal lumen, cholesterol and plant sterols compete for inclusion into the micelles </w:t>
      </w:r>
      <w:r w:rsidRPr="00547FB5">
        <w:rPr>
          <w:lang w:val="en-GB" w:eastAsia="en-AU" w:bidi="ar-SA"/>
        </w:rPr>
        <w:fldChar w:fldCharType="begin" w:fldLock="1"/>
      </w:r>
      <w:r w:rsidRPr="00547FB5">
        <w:rPr>
          <w:lang w:val="en-GB" w:eastAsia="en-AU" w:bidi="ar-SA"/>
        </w:rPr>
        <w:instrText>ADDIN CSL_CITATION { "citationItems" : [ { "id" : "ITEM-1", "itemData" : { "DOI" : "10.3177/jnsv.35.361", "ISSN" : "0301-4800", "PMID" : "2585153", "abstract" : "The influence of sitosterol and sitostanol on the solubility of cholesterol in mixed bile salt micelles in vitro and in vivo was investigated to examine the mechanism by which sitostanol inhibits cholesterol absorption more than does sitosterol. Both sitosterol and sitostanol decreased micellar solubility of cholesterol to a similar extent, when determined with the turbidity. Also, these sterols reduced the concentration of cholesterol in micelles, both in vitro and in vivo. The extent of the reduction of micellar solubility of cholesterol by these sterols was almost the same in vitro, whereas sitostanol tended to reduce the solubility more effectively than sitosterol in vivo. Thus, the interference with cholesterol solubilization in vivo may be responsible for effective inhibition of cholesterol absorption by sitostanol. Since the effect of sitostanol was not observed in vitro, there is a possibility that another factor(s) not included in the in vitro system might affect the action of sitostanol on micellar solubility of cholesterol in vivo.", "author" : [ { "dropping-particle" : "", "family" : "Ikeda", "given" : "I.", "non-dropping-particle" : "", "parse-names" : false, "suffix" : "" }, { "dropping-particle" : "", "family" : "Tanabe", "given" : "Y.", "non-dropping-particle" : "", "parse-names" : false, "suffix" : "" }, { "dropping-particle" : "", "family" : "Sugano", "given" : "M.", "non-dropping-particle" : "", "parse-names" : false, "suffix" : "" } ], "container-title" : "Journal of Nutritional Science and Vitaminology", "id" : "ITEM-1", "issue" : "4", "issued" : { "date-parts" : [ [ "1989" ] ] }, "page" : "361-369", "title" : "Effects of sitosterol and sitostanol on micellar solubility of cholesterol.", "type" : "article-journal", "volume" : "35" }, "uris" : [ "http://www.mendeley.com/documents/?uuid=8725347d-3b86-4204-8112-3218548b0449" ] }, { "id" : "ITEM-2", "itemData" : { "DOI" : "10.1002/ejlt.200390033", "ISBN" : "3110460599", "ISSN" : "14387697", "abstract" : "Plant sterols (or phytosterols) are naturally occurring compounds structurally related to cholesterol with different side chain configurations. To date, numerous studies have shown that dietary intake of plant sterols either in their free form or as fatty acid esters is effective at lowering plasma total and low density lipoprotein cholesterol. The main mechanism responsible for the cholesterol-lowering effect of free and esterified plant sterols is the inhibition of intestinal cholesterol absorption. Several sites within the in- testinal tract have been suggested where this inhibition might take place. Different mechanisms, such as competition with cholesterol for solubilisation in dietary mixed micelles, co-crystallisation with cholesterol to form insoluble mixed crystals, and inter- ference with the hydrolysis process by lipases and cholesterol esterases are believed to contribute to the lowering of serum cholesterol concentrations by plant sterols. There is also emerging evidence that plant sterols interfere with transport-mediated processes of cholesterol uptake. The consequence of all these actions, although their individual contribution on the overall effect remains to be established, is that intestinal cholesterol absorption is reduced, while more cholesterol is excreted in the faeces. The aim of this review is to summarise the current understanding concerning the mechanism of action by which plant sterols affect cholesterol metabolism and thus exert their cholesterol-lowering effect. The review will focus on the gut, e.g. on the physico-chemical effects at the gastric-duodenal level, on absorptive site effects, and on intra-cellular trafficking, i.e. effects at the epithelial cell level.", "author" : [ { "dropping-particle" : "", "family" : "Trautwein", "given" : "Elke a.", "non-dropping-particle" : "", "parse-names" : false, "suffix" : "" }, { "dropping-particle" : "", "family" : "Duchateau", "given" : "Guus S. M. J. E.", "non-dropping-particle" : "", "parse-names" : false, "suffix" : "" }, { "dropping-particle" : "", "family" : "Lin", "given" : "Yuguang", "non-dropping-particle" : "", "parse-names" : false, "suffix" : "" }, { "dropping-particle" : "", "family" : "Mel'nikov", "given" : "Sergey M.", "non-dropping-particle" : "", "parse-names" : false, "suffix" : "" }, { "dropping-particle" : "", "family" : "Molhuizen", "given" : "Henri O. F.", "non-dropping-particle" : "", "parse-names" : false, "suffix" : "" }, { "dropping-particle" : "", "family" : "Ntanios", "given" : "Fady Y.", "non-dropping-particle" : "", "parse-names" : false, "suffix" : "" } ], "container-title" : "European Journal of Lipid Science and Technology", "id" : "ITEM-2", "issue" : "34", "issued" : { "date-parts" : [ [ "2003", "4" ] ] }, "page" : "171-185", "title" : "Proposed mechanisms of cholesterol-lowering action of plant sterols", "type" : "article-journal", "volume" : "105" }, "uris" : [ "http://www.mendeley.com/documents/?uuid=a6e7e860-21db-4fbe-8928-154e71fa1a76" ] } ], "mendeley" : { "formattedCitation" : "(Ikeda et al. 1989; Trautwein et al. 2003)", "plainTextFormattedCitation" : "(Ikeda et al. 1989; Trautwein et al. 2003)", "previouslyFormattedCitation" : "(Ikeda et al. 1989; Trautwein et al. 2003)"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(Ikeda et al. 1989; Trautwein et al. 2003)</w:t>
      </w:r>
      <w:r w:rsidRPr="00547FB5">
        <w:rPr>
          <w:lang w:val="en-GB" w:eastAsia="en-AU" w:bidi="ar-SA"/>
        </w:rPr>
        <w:fldChar w:fldCharType="end"/>
      </w:r>
      <w:r w:rsidRPr="00547FB5">
        <w:rPr>
          <w:lang w:val="en-GB" w:eastAsia="en-AU" w:bidi="ar-SA"/>
        </w:rPr>
        <w:t>. The more hydrophobic plant sterols are preferentially incorporated into the micelle structure,</w:t>
      </w:r>
      <w:r w:rsidRPr="00547FB5" w:rsidDel="000A5D07">
        <w:rPr>
          <w:lang w:val="en-GB" w:eastAsia="en-AU" w:bidi="ar-SA"/>
        </w:rPr>
        <w:t xml:space="preserve"> </w:t>
      </w:r>
      <w:r w:rsidRPr="00547FB5">
        <w:rPr>
          <w:lang w:val="en-GB" w:eastAsia="en-AU" w:bidi="ar-SA"/>
        </w:rPr>
        <w:t xml:space="preserve">resulting in a decrease in cholesterol absorption and its consequent elimination in the faeces </w:t>
      </w:r>
      <w:r w:rsidRPr="00547FB5">
        <w:rPr>
          <w:lang w:val="en-GB" w:eastAsia="en-AU" w:bidi="ar-SA"/>
        </w:rPr>
        <w:fldChar w:fldCharType="begin" w:fldLock="1"/>
      </w:r>
      <w:r w:rsidRPr="00547FB5">
        <w:rPr>
          <w:lang w:val="en-GB" w:eastAsia="en-AU" w:bidi="ar-SA"/>
        </w:rPr>
        <w:instrText>ADDIN CSL_CITATION { "citationItems" : [ { "id" : "ITEM-1", "itemData" : { "DOI" : "10.1007/BF03165972", "ISSN" : "1138-7548", "PMID" : "19588734", "abstract" : "Cardiovascular disease is a major health problem in developed countries although its incidence is relatively lower in Mediterranean countries which is partly ascribed to dietary habits. Epidemiologic evidence shows that elevated serum cholesterol, specifically low-density lipoprotein cholesterol (c-LDL), increases cardiovascular disease. Phytosterols are bioactive compounds, found in all vegetable foods, which inhibit intestinal cholesterol absorption and, therefore, have a serum cholesterol-lowering effect. Intestinal cholesterol absorption is a multistep process where plant sterols and stanols may act: a) attenuating the NPC1L1 gene expression, which may result in a lower cholesterol uptake from the lumen; b) lowering the cholesterol esterification rate by the ACAT2 (acyl-CoA cholesterol acyltransferase) and, consequently, the amount of cholesterol secreted via the chylomicrons and c) upregulating the expression of ABC-transporters ABCG5 and ABCG8 in intestinal cells, which may result in an increased excretion of cholesterol by the enterocyte back into the lumen. Many clinical trials proved that commercial products enriched with phytosterols reduce cholesterol levels. Likewise, recent studies show that phytosterols present in natural food matrices are also effective and could be an important component of cardioprotective dietary patterns such as the Mediterranean diet.", "author" : [ { "dropping-particle" : "", "family" : "Sanclemente", "given" : "T.", "non-dropping-particle" : "", "parse-names" : false, "suffix" : "" }, { "dropping-particle" : "", "family" : "Marques-Lopes", "given" : "I.", "non-dropping-particle" : "", "parse-names" : false, "suffix" : "" }, { "dropping-particle" : "", "family" : "Puzo", "given" : "J.", "non-dropping-particle" : "", "parse-names" : false, "suffix" : "" }, { "dropping-particle" : "", "family" : "Garc\u00eda-Ot\u00edn", "given" : "A. L.", "non-dropping-particle" : "", "parse-names" : false, "suffix" : "" } ], "container-title" : "Journal of Physiology and Biochemistry", "id" : "ITEM-1", "issue" : "1", "issued" : { "date-parts" : [ [ "2009", "3" ] ] }, "page" : "87-98", "title" : "Role of naturally-occurring plant sterols on intestinal cholesterol absorption and plasmatic levels", "type" : "article-journal", "volume" : "65" }, "uris" : [ "http://www.mendeley.com/documents/?uuid=ab6b7fb1-df30-4cdc-b042-4b8bf923787d" ] } ], "mendeley" : { "formattedCitation" : "(Sanclemente et al. 2009)", "plainTextFormattedCitation" : "(Sanclemente et al. 2009)", "previouslyFormattedCitation" : "(Sanclemente et al. 2009)"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(Sanclemente et al. 2009)</w:t>
      </w:r>
      <w:r w:rsidRPr="00547FB5">
        <w:rPr>
          <w:lang w:val="en-GB" w:eastAsia="en-AU" w:bidi="ar-SA"/>
        </w:rPr>
        <w:fldChar w:fldCharType="end"/>
      </w:r>
      <w:r w:rsidRPr="00547FB5">
        <w:rPr>
          <w:lang w:val="en-GB" w:eastAsia="en-AU" w:bidi="ar-SA"/>
        </w:rPr>
        <w:t xml:space="preserve">. However, the formation of poorly absorbable mixed micelles containing plant sterols may not necessarily have a particularly large effect on cholesterol reduction </w:t>
      </w:r>
      <w:r w:rsidRPr="00547FB5">
        <w:rPr>
          <w:lang w:val="en-GB" w:eastAsia="en-AU" w:bidi="ar-SA"/>
        </w:rPr>
        <w:fldChar w:fldCharType="begin" w:fldLock="1"/>
      </w:r>
      <w:r w:rsidRPr="00547FB5">
        <w:rPr>
          <w:lang w:val="en-GB" w:eastAsia="en-AU" w:bidi="ar-SA"/>
        </w:rPr>
        <w:instrText>ADDIN CSL_CITATION { "citationItems" : [ { "id" : "ITEM-1", "itemData" : { "DOI" : "10.1016/j.chemphyslip.2003.08.007", "ISSN" : "00093084", "PMID" : "14706738", "abstract" : "The formation of mixed water-insoluble poorly absorbable crystals between cholesterol (CH) and phytosterols (PS) or phytostanols (PSS) in the intestinal lumen has been considered for a long time as a plausible mechanism of the PS/PSS-induced reduction of serum CH concentration. In this report, we demonstrated with the use of the powder X-ray diffraction (XRD) and the differential scanning calorimetry (DSC) techniques that mixed CH:\u03b2-sitosterol (SI) crystals can be formed by recrystallization of corresponding mixtures from melts and also from mixed CH:SI solutions in triglyceride oil. Formation of mixed CH:SI crystals takes place in a wide interval of CH:SI ratios, from \u223c10 up to \u223c75wt.% of SI in the mixture. Formation of mixed CH:sitostanol (SS) crystals from melts and solutions in triglyceride oil was also detected, but in a more narrow interval of CH:SS ratios. However, during the lipolysis of model dietary emulsions under in vitro conditions, the formation of crystalline material was not detected due to the relatively high solubility of free sterols/stanols in products of fat hydrolysis. We found that the solubility of free CH, SI, and SS raises upon the increase in the solvent polarity, i.e. free fatty acid&gt;diglycerideoil&gt; triglyceride oil. Therefore, we believe that the cocrystallization mechanism of phytosterol-induced serum CH lowering has relatively low importance, unless the diet is specially designed to include relatively little amounts of dietary fats. The presented experimental evidence demonstrates that it is unlikely that the formation of poorly absorbable mixed crystals largely affects the intestinal absorption of CH and, therefore, that this is a prime mechanism by which PS and PSS effect CH absorption. \u00a9 2003 Elsevier Ireland Ltd. All rights reserved.", "author" : [ { "dropping-particle" : "", "family" : "Mel\u2019nikov", "given" : "Sergey M", "non-dropping-particle" : "", "parse-names" : false, "suffix" : "" }, { "dropping-particle" : "", "family" : "Seijen ten Hoorn", "given" : "Jack W.M", "non-dropping-particle" : "", "parse-names" : false, "suffix" : "" }, { "dropping-particle" : "", "family" : "Bertrand", "given" : "Benoit", "non-dropping-particle" : "", "parse-names" : false, "suffix" : "" } ], "container-title" : "Chemistry and Physics of Lipids", "id" : "ITEM-1", "issue" : "1", "issued" : { "date-parts" : [ [ "2004", "1" ] ] }, "page" : "15-33", "title" : "Can cholesterol absorption be reduced by phytosterols and phytostanols via a cocrystallization mechanism?", "type" : "article-journal", "volume" : "127" }, "uris" : [ "http://www.mendeley.com/documents/?uuid=fb6aaa99-38cf-446a-b30b-1add96cf1ee5" ] } ], "mendeley" : { "formattedCitation" : "(Mel\u2019nikov et al. 2004)", "plainTextFormattedCitation" : "(Mel\u2019nikov et al. 2004)", "previouslyFormattedCitation" : "(Mel\u2019nikov et al. 2004)"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(Mel’nikov et al. 2004)</w:t>
      </w:r>
      <w:r w:rsidRPr="00547FB5">
        <w:rPr>
          <w:lang w:val="en-GB" w:eastAsia="en-AU" w:bidi="ar-SA"/>
        </w:rPr>
        <w:fldChar w:fldCharType="end"/>
      </w:r>
      <w:r w:rsidRPr="00547FB5">
        <w:rPr>
          <w:lang w:val="en-GB" w:eastAsia="en-AU" w:bidi="ar-SA"/>
        </w:rPr>
        <w:t xml:space="preserve">. Plant sterols have been also proposed to exert an unknown molecular action within enterocytes or hepatocytes and therefore may not need to be present within the intestinal lumen to inhibit or reduce cholesterol absorption </w:t>
      </w:r>
      <w:r w:rsidRPr="00547FB5">
        <w:rPr>
          <w:lang w:val="en-GB" w:eastAsia="en-AU" w:bidi="ar-SA"/>
        </w:rPr>
        <w:fldChar w:fldCharType="begin" w:fldLock="1"/>
      </w:r>
      <w:r w:rsidRPr="00547FB5">
        <w:rPr>
          <w:lang w:val="en-GB" w:eastAsia="en-AU" w:bidi="ar-SA"/>
        </w:rPr>
        <w:instrText>ADDIN CSL_CITATION { "citationItems" : [ { "id" : "ITEM-1", "itemData" : { "DOI" : "10.1016/S0002-9343(99)00285-5", "ISBN" : "0002-9343", "ISSN" : "00029343", "PMID" : "10625028", "abstract" : "Although plant sterols (phytosterols) and cholesterol have similar chemical structures, they differ markedly in their synthesis, intestinal absorption, and metabolic fate. Phytosterols inhibit intestinal cholesterol absorption, thereby lowering plasma total and low-density lipoprotein (LDL) cholesterol levels. In 16 recently published human studies that used phytosterols to reduce plasma cholesterol levels in a total of 590 subjects, phytosterol therapy was accompanied by an average 10% reduction in total cholesterol and 13% reduction in LDL cholesterol levels. Phytosterols may also affect other aspects of cholesterol metabolism that contribute to their antiatherogenic properties, and may interfere with steroid hormone synthesis. The clinical and biochemical features of hereditary sitosterolemia, as well as its treatment, are reviewed, and the effects of cholestyramine treatment in 12 sitosterolemic subjects are summarized. Finally, new ideas for future research into the role of phytosterols in health and disease are discussed. Copyright (C) 1999 Excerpta Medica Inc.", "author" : [ { "dropping-particle" : "", "family" : "Moghadasian", "given" : "Mohammed H.", "non-dropping-particle" : "", "parse-names" : false, "suffix" : "" }, { "dropping-particle" : "", "family" : "Frohlich", "given" : "Jiri J.", "non-dropping-particle" : "", "parse-names" : false, "suffix" : "" } ], "container-title" : "American Journal of Medicine", "id" : "ITEM-1", "issue" : "6", "issued" : { "date-parts" : [ [ "1999", "12" ] ] }, "page" : "588-594", "title" : "Effects of dietary phytosterols on cholesterol metabolism and atherosclerosis: clinical and experimental evidence", "type" : "article-journal", "volume" : "107" }, "uris" : [ "http://www.mendeley.com/documents/?uuid=959e6f59-9391-4eb3-81ae-3b649fa94b15" ] }, { "id" : "ITEM-2", "itemData" : { "DOI" : "10.1016/S0021-9150(99)00261-0", "ISBN" : "0021-9150 (Print)\\r0021-9150 (Linking)", "ISSN" : "00219150", "PMID" : "10580176", "abstract" : "A pine wood based stanol ester mixture-composed of sitostanol (92%) and campestanol (8%) effectively lowers cholesterol absorption and consequently LDL-cholesterol concentrations. It has been postulated that the less absorbable plant sterols reduce cholesterol absorption more effectively. As sitostanol is absorbed less than campestanol, we decided to examine if a vegetable oil based stanol ester mixture with 68% sitostanol and 32% campestanol is less effective than the wood based stanol ester mixture. For this, 112 non-hypercholesterolemic men and women consumed for 4 weeks a rapeseed oil (LEAR) based margarine and shortening. For the next 8 weeks, 42 subjects continued with these products, while the other subjects received products with a vegetable oil (n=36) or a pine wood based stanol ester mixture (n=34). Consumption of 3.8 g vegetable oil based stanols (2.6 g sitostanol plus 1.2 g campestanol) lowered LDL cholesterol 14.6\u00b18.0% (-0.37 mmol/l; vs. the control group; P&lt;0.001; 95% CI for the difference, -0.22 to -0.51 mmol/l). Four grams pine wood based stanols (3.7 g sitostanol plus 0.3 g campestanol) showed a comparable decrease of 12.8\u00b111.2% (-0.34 mmol/l; P&lt;0.001; 95% CI-0.18 to-0.51 mmol/l). Decreases in LDL cholesterol were not different between the two experimental groups (P=0.793), while apoE genotype did not have a major impact on this hypocholesterolemic response. Serum HDL cholesterol and triacylglycerol concentrations were not changed. The decreases in apo B in both experimental groups differed significantly (P&lt;0.001) from changes in the control group. Coagulation and fibrinolytic parameters were not affected. We therefore conclude that vegetable oil and wood based stanol ester mixtures, with a different sitostanol/campestanol ratio, have similar LDL cholesterol lowering effects in a non-hypercholesterolemic population. Copyright (C) 2000 Elsevier Science Ireland Ltd.", "author" : [ { "dropping-particle" : "", "family" : "Plat", "given" : "Jogchum", "non-dropping-particle" : "", "parse-names" : false, "suffix" : "" }, { "dropping-particle" : "", "family" : "Mensink", "given" : "Ronald P.", "non-dropping-particle" : "", "parse-names" : false, "suffix" : "" } ], "container-title" : "Atherosclerosis", "id" : "ITEM-2", "issue" : "1", "issued" : { "date-parts" : [ [ "2000", "1" ] ] }, "page" : "101-112", "title" : "Vegetable oil based versus wood based stanol ester mixtures: effects on serum lipids and hemostatic factors in non-hypercholesterolemic subjects", "type" : "article-journal", "volume" : "148" }, "uris" : [ "http://www.mendeley.com/documents/?uuid=2718e565-a52e-4279-9fe1-eda08207db51" ] } ], "mendeley" : { "formattedCitation" : "(Moghadasian and Frohlich 1999; Plat and Mensink 2000)", "plainTextFormattedCitation" : "(Moghadasian and Frohlich 1999; Plat and Mensink 2000)", "previouslyFormattedCitation" : "(Moghadasian and Frohlich 1999; Plat and Mensink 2000)"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(Moghadasian and Frohlich 1999; Plat and Mensink 2000)</w:t>
      </w:r>
      <w:r w:rsidRPr="00547FB5">
        <w:rPr>
          <w:lang w:val="en-GB" w:eastAsia="en-AU" w:bidi="ar-SA"/>
        </w:rPr>
        <w:fldChar w:fldCharType="end"/>
      </w:r>
      <w:r w:rsidRPr="00547FB5">
        <w:rPr>
          <w:lang w:val="en-GB" w:eastAsia="en-AU" w:bidi="ar-SA"/>
        </w:rPr>
        <w:fldChar w:fldCharType="begin" w:fldLock="1"/>
      </w:r>
      <w:r w:rsidRPr="00547FB5">
        <w:rPr>
          <w:lang w:val="en-GB" w:eastAsia="en-AU" w:bidi="ar-SA"/>
        </w:rPr>
        <w:instrText>ADDIN CSL_CITATION { "citationItems" : [ { "id" : "ITEM-1", "itemData" : { "DOI" : "10.1038/sj.ejcn.1601071", "ISBN" : "0954-3007 (Print)\\r0954-3007 (Linking)", "ISSN" : "09543007", "PMID" : "11002377", "abstract" : "OBJECTIVE: To examine in humans the effects on serum lipids, lipoproteins and fat-soluble antioxidants of a daily consumption of 2.5 g plant stanols, consumed either once per day at lunch or divided over the three meals. DESIGN: A randomized, double-blind, placebo-controlled, cross-over design. SUBJECTS: Thirty-nine healthy normocholesterolemic or mildly hypercholesterolemic subjects participated. INTERVENTIONS: Each subject consumed in random order; no plant stanols; 2.5 g plant stanols at lunch; and 2.5 g plant stanols divided over the three meals (0.42 g at breakfast, 0.84 g at lunch and 1.25 g at dinner, which is proportional to dietary cholesterol intake). Each period lasted 4 weeks. Plant stanols were esterified with fatty acids from low erucic rapeseed oil (LEAR) and incorporated into margarines or shortenings. RESULTS: Consumption of 2.5 g plant stanols at lunch results in a similar low-density lipoprotein (LDL)-cholesterol-lowering efficacy compared to consumption of 2.5 g plant stanols divided over the three meals (-0. 29 mmol/l compared with the control period (P&lt;0.001; 95% CI, -0.19 to -0.39 mmol/l) for the once per day diet and -0.31 mmol/l (P&lt;0. 001; 95% CI, -0.20 to -0.41 mmol/l)) for the three times per day period). High-density Lipoprotein (HDL) cholesterol and triacylglycerol concentrations did not change. After standardization for LDL cholesterol, the sum of the most lipophylic hydrocarbon carotenoids (ie alpha-carotene, beta-carotene and lycopene) in particular was slightly, though not significantly, lowered by -0. 017+/-0.018 micromol/mmol LDL cholesterol (P=0.307) after the once per day period and by -0.032+/-0.016 micromol/mmol LDL cholesterol (P=0.049) after the three times per day period. CONCLUSIONS: Our findings suggest that for lowering LDL cholesterol concentrations it is not necessary to consume products rich in plant stanol ester at each meal or simultaneously with dietary cholesterol. SPONSORSHIP: Raisio Group, Raisio, Finland.", "author" : [ { "dropping-particle" : "", "family" : "Plat", "given" : "J", "non-dropping-particle" : "", "parse-names" : false, "suffix" : "" }, { "dropping-particle" : "", "family" : "Onselen", "given" : "E N M", "non-dropping-particle" : "van", "parse-names" : false, "suffix" : "" }, { "dropping-particle" : "", "family" : "Heugten", "given" : "M M A", "non-dropping-particle" : "van", "parse-names" : false, "suffix" : "" }, { "dropping-particle" : "", "family" : "Mensink", "given" : "R P", "non-dropping-particle" : "", "parse-names" : false, "suffix" : "" } ], "container-title" : "European Journal of Clinical Nutrition", "id" : "ITEM-1", "issue" : "9", "issued" : { "date-parts" : [ [ "2000", "9" ] ] }, "page" : "671-677", "title" : "Effects on serum lipids, lipoproteins and fat soluble antioxidant concentrations of consumption frequency of margarines and shortenings enriched with plant stanol esters", "type" : "article-journal", "volume" : "54" }, "uris" : [ "http://www.mendeley.com/documents/?uuid=891eafd6-9988-4290-884d-ba480a566427" ] } ], "mendeley" : { "formattedCitation" : "(Plat et al. 2000)", "plainTextFormattedCitation" : "(Plat et al. 2000)", "previouslyFormattedCitation" : "(Plat et al. 2000)" }, "properties" : { "noteIndex" : 0 }, "schema" : "https://github.com/citation-style-language/schema/raw/master/csl-citation.json" }</w:instrText>
      </w:r>
      <w:r w:rsidRPr="00547FB5">
        <w:rPr>
          <w:lang w:val="en-GB" w:eastAsia="en-AU" w:bidi="ar-SA"/>
        </w:rPr>
        <w:fldChar w:fldCharType="end"/>
      </w:r>
      <w:r w:rsidR="00335CC0">
        <w:rPr>
          <w:lang w:val="en-GB" w:eastAsia="en-AU" w:bidi="ar-SA"/>
        </w:rPr>
        <w:t>(Plat et al. 2000)(Plat et al. 2000)</w:t>
      </w:r>
      <w:r w:rsidRPr="00547FB5">
        <w:rPr>
          <w:lang w:val="en-GB" w:eastAsia="en-AU" w:bidi="ar-SA"/>
        </w:rPr>
        <w:t>.</w:t>
      </w:r>
    </w:p>
    <w:p w14:paraId="5145D724" w14:textId="77777777" w:rsidR="0051780C" w:rsidRPr="00547FB5" w:rsidRDefault="0051780C" w:rsidP="0051780C">
      <w:pPr>
        <w:rPr>
          <w:lang w:val="en-GB" w:eastAsia="en-AU" w:bidi="ar-SA"/>
        </w:rPr>
      </w:pPr>
    </w:p>
    <w:p w14:paraId="7F5B5D36" w14:textId="6641F2A0" w:rsidR="0051780C" w:rsidRPr="00547FB5" w:rsidRDefault="0051780C" w:rsidP="0051780C">
      <w:pPr>
        <w:rPr>
          <w:lang w:val="en-GB" w:eastAsia="en-AU" w:bidi="ar-SA"/>
        </w:rPr>
      </w:pPr>
      <w:r w:rsidRPr="00547FB5">
        <w:rPr>
          <w:lang w:val="en-GB" w:eastAsia="en-AU" w:bidi="ar-SA"/>
        </w:rPr>
        <w:t>Consumption of foods fortified with plant sterols has been reported to increase the plasma concentration of</w:t>
      </w:r>
      <w:r w:rsidRPr="00547FB5" w:rsidDel="00514218">
        <w:rPr>
          <w:lang w:val="en-GB" w:eastAsia="en-AU" w:bidi="ar-SA"/>
        </w:rPr>
        <w:t xml:space="preserve"> </w:t>
      </w:r>
      <w:r w:rsidRPr="00547FB5">
        <w:rPr>
          <w:lang w:val="en-GB" w:eastAsia="en-AU" w:bidi="ar-SA"/>
        </w:rPr>
        <w:t xml:space="preserve">these phytochemicals </w:t>
      </w:r>
      <w:r w:rsidRPr="00547FB5">
        <w:rPr>
          <w:lang w:val="en-GB" w:eastAsia="en-AU" w:bidi="ar-SA"/>
        </w:rPr>
        <w:fldChar w:fldCharType="begin" w:fldLock="1"/>
      </w:r>
      <w:r w:rsidRPr="00547FB5">
        <w:rPr>
          <w:lang w:val="en-GB" w:eastAsia="en-AU" w:bidi="ar-SA"/>
        </w:rPr>
        <w:instrText>ADDIN CSL_CITATION { "citationItems" : [ { "id" : "ITEM-1", "itemData" : { "DOI" : "10.1194/jlr.M400074-JLR200", "ISSN" : "0022-2275", "PMID" : "15145979", "abstract" : "The objective of this study was to measure the effects on serum lipids and plasma phytosterols of 6.6 g/day phytosterols from three foods (bread, breakfast cereal, and spread) consumed for 12 weeks compared with a diet that was not enriched with phytosterols. Thirty-five subjects undertook a nonrandomized, single-blind study consisting of a 2 week baseline period, 6 weeks on high-phytosterol intake, 6 weeks on high-phytosterol intake plus increased fruit and vegetable intake, and a final 2 week washout period. Serum total cholesterol decreased by 8.3% from 6.59 to 6.04 mmol/l, and LDL cholesterol decreased by 12.6% from 4.44 to 3.88 mmol/l. Plasma phytosterol levels increased by 45% (sitosterol) and 105% (campesterol). Cholesterol-adjusted plasma alpha- and beta-carotene levels decreased by 19-23%, lutein by 14%, and lycopene by 11%. Levels of alpha-carotene and lutein increased with extra fruit and vegetables. Only lycopene failed to increase during the washout phase. There were no significant changes in biochemical parameters. Serum LDL cholesterol lowering with 6.6 g/day ingested phytosterols was in the range seen with 1.6-3.2 g/day phytosterols. Lowering of plasma carotenoids was greater than that seen with lower phytosterol intake and was partially reversed by increased fruit and vegetable intake.", "author" : [ { "dropping-particle" : "", "family" : "Clifton", "given" : "Peter M", "non-dropping-particle" : "", "parse-names" : false, "suffix" : "" }, { "dropping-particle" : "", "family" : "Noakes", "given" : "Manny", "non-dropping-particle" : "", "parse-names" : false, "suffix" : "" }, { "dropping-particle" : "", "family" : "Ross", "given" : "Donna", "non-dropping-particle" : "", "parse-names" : false, "suffix" : "" }, { "dropping-particle" : "", "family" : "Fassoulakis", "given" : "Andriana", "non-dropping-particle" : "", "parse-names" : false, "suffix" : "" }, { "dropping-particle" : "", "family" : "Cehun", "given" : "Marja", "non-dropping-particle" : "", "parse-names" : false, "suffix" : "" }, { "dropping-particle" : "", "family" : "Nestel", "given" : "Paul", "non-dropping-particle" : "", "parse-names" : false, "suffix" : "" } ], "container-title" : "Journal of Lipid Research", "id" : "ITEM-1", "issue" : "8", "issued" : { "date-parts" : [ [ "2004", "5", "16" ] ] }, "page" : "1493-1499", "title" : "High dietary intake of phytosterol esters decreases carotenoids and increases plasma plant sterol levels with no additional cholesterol lowering", "type" : "article-journal", "volume" : "45" }, "uris" : [ "http://www.mendeley.com/documents/?uuid=5f946136-203b-43e4-93e3-a2daece61b37" ] } ], "mendeley" : { "formattedCitation" : "(Clifton et al. 2004)", "plainTextFormattedCitation" : "(Clifton et al. 2004)", "previouslyFormattedCitation" : "(Clifton et al. 2004)"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(Clifton et al. 2004)</w:t>
      </w:r>
      <w:r w:rsidRPr="00547FB5">
        <w:rPr>
          <w:lang w:val="en-GB" w:eastAsia="en-AU" w:bidi="ar-SA"/>
        </w:rPr>
        <w:fldChar w:fldCharType="end"/>
      </w:r>
      <w:r w:rsidRPr="00547FB5">
        <w:rPr>
          <w:lang w:val="en-GB" w:eastAsia="en-AU" w:bidi="ar-SA"/>
        </w:rPr>
        <w:t xml:space="preserve">. However, the levels remain at less than 1% of total plasma sterols and, generally, do not exceed 25 μmol/L even in diets that have high levels of plant sterols </w:t>
      </w:r>
      <w:r w:rsidRPr="00547FB5">
        <w:rPr>
          <w:lang w:val="en-GB" w:eastAsia="en-AU" w:bidi="ar-SA"/>
        </w:rPr>
        <w:fldChar w:fldCharType="begin" w:fldLock="1"/>
      </w:r>
      <w:r w:rsidRPr="00547FB5">
        <w:rPr>
          <w:lang w:val="en-GB" w:eastAsia="en-AU" w:bidi="ar-SA"/>
        </w:rPr>
        <w:instrText>ADDIN CSL_CITATION { "citationItems" : [ { "id" : "ITEM-1", "itemData" : { "DOI" : "10.1016/j.atherosclerosis.2008.06.014", "ISBN" : "1879-1484 (Electronic)", "ISSN" : "00219150", "PMID" : "18656878", "abstract" : "AIMS: Phytosterols have been proposed to be atherogenic. This research investigates whether plasma concentrations of phytosterols correlate with the manifestation of coronary heart disease. METHODS AND RESULTS: The CORA study compares clinical, biochemical, and lifestyle factors in consecutive pre- and postmenopausal women with incident coronary heart disease to those in age-matched population-based controls. Controls (n=231) had significantly higher plasma concentrations of the major phytosterol species than cases (n=186) (4.649mg/l vs. 4.092mg/l; p&lt;0.001). Cases had a higher dietary intake of phytosterols, but the ratio of lathosterol over sitosterol did not significantly differ. Phytosterols correlated with cholesterol concentrations of LDL and HDL, the phytosterol-carrying lipoproteins. The age-adjusted odds ratio for the association of total phytosterols and risk of coronary heart disease was 0.69 per 5mg/dl (95% CI 0.46-0.99). After adjustment for LDL- and HDL-cholesterol the odds ratio approached 1 (0.89; 95% CI 0.61-1.30), which was reached after additional adjustment for major risk factors, particularly those reflecting the metabolic syndrome (1.05; 95% CI 0.64-1.97). CONCLUSIONS: Healthy controls had higher unadjusted concentrations of plasma phytosterols, but the adjusted odds ratio for coronary heart disease did not point to an impact of plasma phytosterols on coronary heart disease.", "author" : [ { "dropping-particle" : "", "family" : "Windler", "given" : "Eberhard", "non-dropping-particle" : "", "parse-names" : false, "suffix" : "" }, { "dropping-particle" : "", "family" : "Zyriax", "given" : "Birgit-Christiane", "non-dropping-particle" : "", "parse-names" : false, "suffix" : "" }, { "dropping-particle" : "", "family" : "Kuipers", "given" : "Folkert", "non-dropping-particle" : "", "parse-names" : false, "suffix" : "" }, { "dropping-particle" : "", "family" : "Linseisen", "given" : "Jakob", "non-dropping-particle" : "", "parse-names" : false, "suffix" : "" }, { "dropping-particle" : "", "family" : "Boeing", "given" : "Heiner", "non-dropping-particle" : "", "parse-names" : false, "suffix" : "" } ], "container-title" : "Atherosclerosis", "id" : "ITEM-1", "issue" : "1", "issued" : { "date-parts" : [ [ "2009", "3" ] ] }, "page" : "284-290", "title" : "Association of plasma phytosterol concentrations with incident coronary heart disease", "type" : "article-journal", "volume" : "203" }, "uris" : [ "http://www.mendeley.com/documents/?uuid=0ceac290-8179-4d05-b3f9-2d81fc5c8e10" ] } ], "mendeley" : { "formattedCitation" : "(Windler et al. 2009)", "plainTextFormattedCitation" : "(Windler et al. 2009)", "previouslyFormattedCitation" : "(Windler et al. 2009)"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(Windler et al. 2009)</w:t>
      </w:r>
      <w:r w:rsidRPr="00547FB5">
        <w:rPr>
          <w:lang w:val="en-GB" w:eastAsia="en-AU" w:bidi="ar-SA"/>
        </w:rPr>
        <w:fldChar w:fldCharType="end"/>
      </w:r>
      <w:r w:rsidRPr="00547FB5">
        <w:rPr>
          <w:lang w:val="en-GB" w:eastAsia="en-AU" w:bidi="ar-SA"/>
        </w:rPr>
        <w:t>. For instance, in a non-randomised study in which 35 mildly hypercholesterol</w:t>
      </w:r>
      <w:r w:rsidR="001072B9">
        <w:rPr>
          <w:lang w:val="en-GB" w:eastAsia="en-AU" w:bidi="ar-SA"/>
        </w:rPr>
        <w:t>a</w:t>
      </w:r>
      <w:r w:rsidRPr="00547FB5">
        <w:rPr>
          <w:lang w:val="en-GB" w:eastAsia="en-AU" w:bidi="ar-SA"/>
        </w:rPr>
        <w:t xml:space="preserve">emic subjects consumed 6.6 g of plant sterol esters per day over a period of 12 weeks, </w:t>
      </w:r>
      <w:r w:rsidRPr="00547FB5">
        <w:rPr>
          <w:lang w:val="en-GB" w:eastAsia="en-AU"/>
        </w:rPr>
        <w:t xml:space="preserve">the combined plasma concentrations of </w:t>
      </w:r>
      <w:r w:rsidRPr="00547FB5">
        <w:rPr>
          <w:lang w:val="en-GB" w:eastAsia="en-AU" w:bidi="ar-SA"/>
        </w:rPr>
        <w:t>campesterol</w:t>
      </w:r>
      <w:r w:rsidRPr="00547FB5">
        <w:rPr>
          <w:lang w:val="en-GB" w:eastAsia="en-AU"/>
        </w:rPr>
        <w:t xml:space="preserve"> and </w:t>
      </w:r>
      <w:r w:rsidRPr="00547FB5">
        <w:rPr>
          <w:rFonts w:cs="Arial"/>
          <w:lang w:val="en-GB" w:eastAsia="en-AU"/>
        </w:rPr>
        <w:t>β</w:t>
      </w:r>
      <w:r w:rsidRPr="00547FB5">
        <w:rPr>
          <w:lang w:val="en-GB" w:eastAsia="en-AU"/>
        </w:rPr>
        <w:t xml:space="preserve">-sitosterol, i.e. two of the major phytosterols in plants, did not exceed 0.5% of the total plasma cholesterol concentration </w:t>
      </w:r>
      <w:r w:rsidRPr="00547FB5">
        <w:rPr>
          <w:lang w:val="en-GB" w:eastAsia="en-AU" w:bidi="ar-SA"/>
        </w:rPr>
        <w:fldChar w:fldCharType="begin" w:fldLock="1"/>
      </w:r>
      <w:r w:rsidRPr="00547FB5">
        <w:rPr>
          <w:lang w:val="en-GB" w:eastAsia="en-AU" w:bidi="ar-SA"/>
        </w:rPr>
        <w:instrText>ADDIN CSL_CITATION { "citationItems" : [ { "id" : "ITEM-1", "itemData" : { "DOI" : "10.1194/jlr.M400074-JLR200", "ISSN" : "0022-2275", "PMID" : "15145979", "abstract" : "The objective of this study was to measure the effects on serum lipids and plasma phytosterols of 6.6 g/day phytosterols from three foods (bread, breakfast cereal, and spread) consumed for 12 weeks compared with a diet that was not enriched with phytosterols. Thirty-five subjects undertook a nonrandomized, single-blind study consisting of a 2 week baseline period, 6 weeks on high-phytosterol intake, 6 weeks on high-phytosterol intake plus increased fruit and vegetable intake, and a final 2 week washout period. Serum total cholesterol decreased by 8.3% from 6.59 to 6.04 mmol/l, and LDL cholesterol decreased by 12.6% from 4.44 to 3.88 mmol/l. Plasma phytosterol levels increased by 45% (sitosterol) and 105% (campesterol). Cholesterol-adjusted plasma alpha- and beta-carotene levels decreased by 19-23%, lutein by 14%, and lycopene by 11%. Levels of alpha-carotene and lutein increased with extra fruit and vegetables. Only lycopene failed to increase during the washout phase. There were no significant changes in biochemical parameters. Serum LDL cholesterol lowering with 6.6 g/day ingested phytosterols was in the range seen with 1.6-3.2 g/day phytosterols. Lowering of plasma carotenoids was greater than that seen with lower phytosterol intake and was partially reversed by increased fruit and vegetable intake.", "author" : [ { "dropping-particle" : "", "family" : "Clifton", "given" : "Peter M", "non-dropping-particle" : "", "parse-names" : false, "suffix" : "" }, { "dropping-particle" : "", "family" : "Noakes", "given" : "Manny", "non-dropping-particle" : "", "parse-names" : false, "suffix" : "" }, { "dropping-particle" : "", "family" : "Ross", "given" : "Donna", "non-dropping-particle" : "", "parse-names" : false, "suffix" : "" }, { "dropping-particle" : "", "family" : "Fassoulakis", "given" : "Andriana", "non-dropping-particle" : "", "parse-names" : false, "suffix" : "" }, { "dropping-particle" : "", "family" : "Cehun", "given" : "Marja", "non-dropping-particle" : "", "parse-names" : false, "suffix" : "" }, { "dropping-particle" : "", "family" : "Nestel", "given" : "Paul", "non-dropping-particle" : "", "parse-names" : false, "suffix" : "" } ], "container-title" : "Journal of Lipid Research", "id" : "ITEM-1", "issue" : "8", "issued" : { "date-parts" : [ [ "2004", "5", "16" ] ] }, "page" : "1493-1499", "title" : "High dietary intake of phytosterol esters decreases carotenoids and increases plasma plant sterol levels with no additional cholesterol lowering", "type" : "article-journal", "volume" : "45" }, "uris" : [ "http://www.mendeley.com/documents/?uuid=5f946136-203b-43e4-93e3-a2daece61b37" ] } ], "mendeley" : { "formattedCitation" : "(Clifton et al. 2004)", "plainTextFormattedCitation" : "(Clifton et al. 2004)", "previouslyFormattedCitation" : "(Clifton et al. 2004)"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(Clifton et al. 2004)</w:t>
      </w:r>
      <w:r w:rsidRPr="00547FB5">
        <w:rPr>
          <w:lang w:val="en-GB" w:eastAsia="en-AU" w:bidi="ar-SA"/>
        </w:rPr>
        <w:fldChar w:fldCharType="end"/>
      </w:r>
      <w:r w:rsidRPr="00547FB5">
        <w:rPr>
          <w:lang w:val="en-GB" w:eastAsia="en-AU" w:bidi="ar-SA"/>
        </w:rPr>
        <w:t xml:space="preserve">. Furthermore, the reported plasma concentrations of campesterol and </w:t>
      </w:r>
      <w:r w:rsidRPr="00547FB5">
        <w:rPr>
          <w:rFonts w:cs="Arial"/>
          <w:lang w:val="en-GB" w:eastAsia="en-AU" w:bidi="ar-SA"/>
        </w:rPr>
        <w:t>β</w:t>
      </w:r>
      <w:r w:rsidRPr="00547FB5">
        <w:rPr>
          <w:lang w:val="en-GB" w:eastAsia="en-AU" w:bidi="ar-SA"/>
        </w:rPr>
        <w:t xml:space="preserve">-sitosterol of subjects receiving supplemental phytosterols are within the ranges for the general population </w:t>
      </w:r>
      <w:r w:rsidRPr="00547FB5">
        <w:rPr>
          <w:lang w:val="en-GB" w:eastAsia="en-AU" w:bidi="ar-SA"/>
        </w:rPr>
        <w:fldChar w:fldCharType="begin" w:fldLock="1"/>
      </w:r>
      <w:r w:rsidRPr="00547FB5">
        <w:rPr>
          <w:lang w:val="en-GB" w:eastAsia="en-AU" w:bidi="ar-SA"/>
        </w:rPr>
        <w:instrText>ADDIN CSL_CITATION { "citationItems" : [ { "id" : "ITEM-1", "itemData" : { "DOI" : "10.1194/jlr.M400074-JLR200", "ISSN" : "0022-2275", "PMID" : "15145979", "abstract" : "The objective of this study was to measure the effects on serum lipids and plasma phytosterols of 6.6 g/day phytosterols from three foods (bread, breakfast cereal, and spread) consumed for 12 weeks compared with a diet that was not enriched with phytosterols. Thirty-five subjects undertook a nonrandomized, single-blind study consisting of a 2 week baseline period, 6 weeks on high-phytosterol intake, 6 weeks on high-phytosterol intake plus increased fruit and vegetable intake, and a final 2 week washout period. Serum total cholesterol decreased by 8.3% from 6.59 to 6.04 mmol/l, and LDL cholesterol decreased by 12.6% from 4.44 to 3.88 mmol/l. Plasma phytosterol levels increased by 45% (sitosterol) and 105% (campesterol). Cholesterol-adjusted plasma alpha- and beta-carotene levels decreased by 19-23%, lutein by 14%, and lycopene by 11%. Levels of alpha-carotene and lutein increased with extra fruit and vegetables. Only lycopene failed to increase during the washout phase. There were no significant changes in biochemical parameters. Serum LDL cholesterol lowering with 6.6 g/day ingested phytosterols was in the range seen with 1.6-3.2 g/day phytosterols. Lowering of plasma carotenoids was greater than that seen with lower phytosterol intake and was partially reversed by increased fruit and vegetable intake.", "author" : [ { "dropping-particle" : "", "family" : "Clifton", "given" : "Peter M", "non-dropping-particle" : "", "parse-names" : false, "suffix" : "" }, { "dropping-particle" : "", "family" : "Noakes", "given" : "Manny", "non-dropping-particle" : "", "parse-names" : false, "suffix" : "" }, { "dropping-particle" : "", "family" : "Ross", "given" : "Donna", "non-dropping-particle" : "", "parse-names" : false, "suffix" : "" }, { "dropping-particle" : "", "family" : "Fassoulakis", "given" : "Andriana", "non-dropping-particle" : "", "parse-names" : false, "suffix" : "" }, { "dropping-particle" : "", "family" : "Cehun", "given" : "Marja", "non-dropping-particle" : "", "parse-names" : false, "suffix" : "" }, { "dropping-particle" : "", "family" : "Nestel", "given" : "Paul", "non-dropping-particle" : "", "parse-names" : false, "suffix" : "" } ], "container-title" : "Journal of Lipid Research", "id" : "ITEM-1", "issue" : "8", "issued" : { "date-parts" : [ [ "2004", "5", "16" ] ] }, "page" : "1493-1499", "title" : "High dietary intake of phytosterol esters decreases carotenoids and increases plasma plant sterol levels with no additional cholesterol lowering", "type" : "article-journal", "volume" : "45" }, "uris" : [ "http://www.mendeley.com/documents/?uuid=5f946136-203b-43e4-93e3-a2daece61b37" ] }, { "id" : "ITEM-2", "itemData" : { "ISSN" : "00029165", "PMID" : "12081816", "abstract" : "BACKGROUND: Consumption of phytosterol-supplemented margarine lowers total plasma cholesterol (TC) and LDL-cholesterol concentrations in older middle-aged hypercholesterolemic individuals. The effects of incorporating phytosterols into lower-fat foods on the plasma lipids of young men at increased risk of developing cardiovascular disease have not been studied. OBJECTIVE: We tested the hypothesis that a single daily dose of soybean phytosterols added to ground beef will lower plasma TC and LDL-cholesterol concentrations in mildly hypercholesterolemic young men. DESIGN: In a triple-blind, 4-wk study, 34 male college students with elevated plasma TC (5.85 +/- 0.70 mmol/L), LDL cholesterol (4.02 +/- 0.60 mmol/L), and TC:HDL cholesterol (5.5 +/- 1.2) were randomly assigned to the control (ground beef alone) or treatment (ground beef with 2.7 g of phytosterols) group. The phytosterol mixture was two-thirds esterified and one-third nonesterified and consisted of beta-sitosterol (48%), campesterol (27%), and stigmasterol (21%). RESULTS: Consumption of phytosterol-supplemented ground beef lowered plasma TC and LDL-cholesterol concentrations and TC:HDL cholesterol from baseline by 9.3%, 14.6%, and 9.1%, respectively (P &lt; 0.001). The LDL particle size did not change, suggesting that the decrease was primarily of particle number. The decreases were similar in subjects with (n = 8) and without (n = 9) a family history of premature cardiovascular disease. No significant changes were found in the control group. CONCLUSION: Phytosterol-supplemented ground beef effectively lowers plasma TC and LDL cholesterol and has the potential to become a functional food to help reduce the risk of cardiovascular disease.", "author" : [ { "dropping-particle" : "", "family" : "Matvienko", "given" : "Oksana A.", "non-dropping-particle" : "", "parse-names" : false, "suffix" : "" }, { "dropping-particle" : "", "family" : "Lewis", "given" : "Douglas S.", "non-dropping-particle" : "", "parse-names" : false, "suffix" : "" }, { "dropping-particle" : "", "family" : "Swanson", "given" : "Mike", "non-dropping-particle" : "", "parse-names" : false, "suffix" : "" }, { "dropping-particle" : "", "family" : "Arndt", "given" : "Beth", "non-dropping-particle" : "", "parse-names" : false, "suffix" : "" }, { "dropping-particle" : "", "family" : "Rainwater", "given" : "David L.", "non-dropping-particle" : "", "parse-names" : false, "suffix" : "" }, { "dropping-particle" : "", "family" : "Stewart", "given" : "Jeanne", "non-dropping-particle" : "", "parse-names" : false, "suffix" : "" }, { "dropping-particle" : "", "family" : "Lee Alekel", "given" : "D.", "non-dropping-particle" : "", "parse-names" : false, "suffix" : "" } ], "container-title" : "American Journal of Clinical Nutrition", "id" : "ITEM-2", "issue" : "1", "issued" : { "date-parts" : [ [ "2002" ] ] }, "page" : "57-64", "title" : "A single daily dose of soybean phytosterols in ground beef decreases serum total cholesterol and LDL cholesterol in young, mildly hypercholesterolemic men", "type" : "article-journal", "volume" : "76" }, "uris" : [ "http://www.mendeley.com/documents/?uuid=f09b914f-e717-4398-bb99-ffd5f747d020" ] }, { "id" : "ITEM-3", "itemData" : { "DOI" : "10.3945/jn.110.122515", "ISBN" : "0022-3166 (Print)\\r0022-3166 (Linking)", "ISSN" : "0022-3166", "PMID" : "17449596", "abstract" : "The consumption of products enriched with plant sterol or stanol esters lowers serum total and LDL-cholesterol concentrations, thereby most likely reducing the risk of coronary heart disease. However, using plant sterol (not plant stanol) enriched products elevates serum plant sterol concentrations in humans. This may be unwanted because health effects of elevated serum plant sterol concentrations are still controversial. Within postlaunch monitoring of functional foods, we compared serum plant sterol and plant stanol concentrations among users of plant sterol (n = 67) or plant stanol (n = 13) enriched margarines with those of matched nonusers (n = 81) in the ongoing Dutch Doetinchem cohort study. Subjects (aged 29-67 y) were examined in 1994-1998 (before the introduction of enriched margarines) and re-examined in 1999-2003. Serum concentrations of plant sterols and stanols were measured in samples from nonfasting subjects by GLC-MS. Intake of plant sterols was 1.1 +/- 0.6 g/d and was associated with a decrease of serum total cholesterol concentration of 0.25 +/- 0.91 mmol/L (4%, P &lt; 0.05), a change that differed (P &lt; 0.05) from the nonsignificant increase in nonusers (+2%, 0.12 +/- 0.78 mmol/L, P = 0.16). Cholesterol-standardized serum sitosterol and campesterol increased in plant sterol users by 22% (P &lt; 0.0001) and 103% (P &lt; 0.0001), respectively. Cholesterol-standardized serum sitostanol and campestanol increased in plant stanol users by 197% (P = 0.02) and 196% (P = 0.01). To our knowledge, these data are the first to show changes in serum cholesterol, plant sterol, and plant stanol concentrations after (long-term) consumption of plant sterol and stanol enriched margarines in a free-living population in a nonexperimental setting. Whether the increased serum sterol concentrations result in adverse side effects needs to be investigated in future postlaunch monitoring studies.", "author" : [ { "dropping-particle" : "", "family" : "Fransen", "given" : "Heidi P", "non-dropping-particle" : "", "parse-names" : false, "suffix" : "" }, { "dropping-particle" : "", "family" : "Jong", "given" : "Nynke", "non-dropping-particle" : "de", "parse-names" : false, "suffix" : "" }, { "dropping-particle" : "", "family" : "Wolfs", "given" : "Marion", "non-dropping-particle" : "", "parse-names" : false, "suffix" : "" }, { "dropping-particle" : "", "family" : "Verhagen", "given" : "Hans", "non-dropping-particle" : "", "parse-names" : false, "suffix" : "" }, { "dropping-particle" : "", "family" : "Verschuren", "given" : "W M Monique", "non-dropping-particle" : "", "parse-names" : false, "suffix" : "" }, { "dropping-particle" : "", "family" : "L\u00fctjohann", "given" : "Dieter", "non-dropping-particle" : "", "parse-names" : false, "suffix" : "" }, { "dropping-particle" : "", "family" : "Bergmann", "given" : "Klaus", "non-dropping-particle" : "von", "parse-names" : false, "suffix" : "" }, { "dropping-particle" : "", "family" : "Plat", "given" : "Jogchum", "non-dropping-particle" : "", "parse-names" : false, "suffix" : "" }, { "dropping-particle" : "", "family" : "Mensink", "given" : "Ronald P", "non-dropping-particle" : "", "parse-names" : false, "suffix" : "" } ], "container-title" : "Journal of Nutrition", "id" : "ITEM-3", "issue" : "5", "issued" : { "date-parts" : [ [ "2007" ] ] }, "page" : "1301-1306", "title" : "Customary use of plant sterol and plant stanol enriched margarine is associated with changes in serum plant sterol and stanol concentrations in humans", "type" : "article-journal", "volume" : "137" }, "uris" : [ "http://www.mendeley.com/documents/?uuid=b2c6bd98-4cb7-4e2d-addb-602e99c49d30" ] } ], "mendeley" : { "formattedCitation" : "(Matvienko et al. 2002; Clifton et al. 2004; Fransen et al. 2007)", "plainTextFormattedCitation" : "(Matvienko et al. 2002; Clifton et al. 2004; Fransen et al. 2007)", "previouslyFormattedCitation" : "(Matvienko et al. 2002; Clifton et al. 2004; Fransen et al. 2007)"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(Matvienko et al. 2002; Clifton et al. 2004; Fransen et al. 2007)</w:t>
      </w:r>
      <w:r w:rsidRPr="00547FB5">
        <w:rPr>
          <w:lang w:val="en-GB" w:eastAsia="en-AU" w:bidi="ar-SA"/>
        </w:rPr>
        <w:fldChar w:fldCharType="end"/>
      </w:r>
      <w:r w:rsidRPr="00547FB5">
        <w:rPr>
          <w:lang w:val="en-GB" w:eastAsia="en-AU" w:bidi="ar-SA"/>
        </w:rPr>
        <w:t>, which were derived by analysing data obtained from population-based studies and clinical trials (</w:t>
      </w:r>
      <w:r w:rsidRPr="00547FB5">
        <w:rPr>
          <w:noProof/>
          <w:lang w:val="en-GB" w:eastAsia="en-AU" w:bidi="ar-SA"/>
        </w:rPr>
        <w:t>Chan et al. 2006).</w:t>
      </w:r>
      <w:r w:rsidRPr="00547FB5">
        <w:rPr>
          <w:lang w:val="en-GB" w:eastAsia="en-AU" w:bidi="ar-SA"/>
        </w:rPr>
        <w:t xml:space="preserve"> The absorption of dietary plant sterols appears to be similar in both children and</w:t>
      </w:r>
      <w:r w:rsidRPr="00547FB5" w:rsidDel="000A5D07">
        <w:rPr>
          <w:lang w:val="en-GB" w:eastAsia="en-AU" w:bidi="ar-SA"/>
        </w:rPr>
        <w:t xml:space="preserve"> </w:t>
      </w:r>
      <w:r w:rsidRPr="00547FB5">
        <w:rPr>
          <w:lang w:val="en-GB" w:eastAsia="en-AU" w:bidi="ar-SA"/>
        </w:rPr>
        <w:t xml:space="preserve">adults </w:t>
      </w:r>
      <w:r w:rsidRPr="00547FB5">
        <w:rPr>
          <w:lang w:val="en-GB" w:eastAsia="en-AU" w:bidi="ar-SA"/>
        </w:rPr>
        <w:fldChar w:fldCharType="begin" w:fldLock="1"/>
      </w:r>
      <w:r w:rsidRPr="00547FB5">
        <w:rPr>
          <w:lang w:val="en-GB" w:eastAsia="en-AU" w:bidi="ar-SA"/>
        </w:rPr>
        <w:instrText>ADDIN CSL_CITATION { "citationItems" : [ { "id" : "ITEM-1", "itemData" : { "ISSN" : "0022-3166", "PMID" : "11435511", "abstract" : "Plant sterol supplementation reduces serum cholesterol concentration but may increase serum plant sterol concentrations, especially in children. We determined whether natural dietary plant sterols derived mainly from vegetable oil or margarine in early childhood affect serum concentrations of plant sterols (campesterol and sitosterol) and cholesterol precursor sterols (Delta-8 cholestenol, desmosterol, and lathosterol), reflecting endogenous cholesterol synthesis. We measured the serum sterol concentrations using gas liquid chromatography in 20 healthy 13-mo-old intervention children in a randomized, prospective study designed to decrease exposure of the children to known environmental atherosclerosis risk factors and in 20 control children. The diet of the intervention children was rich in plant sterols due to replacement of milk fat with vegetable fat, whereas the diet of the control children contained only small amounts of plant sterols. The intervention children consumed twice as much plant sterols as the control children (P &lt; 0.001). Their serum concentrations of campesterol and sitosterol were 75% and 44% higher, respectively, than those in the control children (P &lt; 0.001 for both), but serum cholesterol precursor sterol concentrations did not differ between the two groups. We conclude that doubling dietary plant sterol intake almost doubles serum plant sterol concentrations in 13-mo-old children, but has no effect on endogenous cholesterol synthesis. Relative intestinal absorption of natural plant sterols from the diet in early childhood is similar to that in adults.", "author" : [ { "dropping-particle" : "", "family" : "Tammi", "given" : "A", "non-dropping-particle" : "", "parse-names" : false, "suffix" : "" }, { "dropping-particle" : "", "family" : "R\u00f6nnemaa", "given" : "T", "non-dropping-particle" : "", "parse-names" : false, "suffix" : "" }, { "dropping-particle" : "", "family" : "Valsta", "given" : "L", "non-dropping-particle" : "", "parse-names" : false, "suffix" : "" }, { "dropping-particle" : "", "family" : "Sepp\u00e4nen", "given" : "R", "non-dropping-particle" : "", "parse-names" : false, "suffix" : "" }, { "dropping-particle" : "", "family" : "Rask-Nissil\u00e4", "given" : "L", "non-dropping-particle" : "", "parse-names" : false, "suffix" : "" }, { "dropping-particle" : "", "family" : "Miettinen", "given" : "T A", "non-dropping-particle" : "", "parse-names" : false, "suffix" : "" }, { "dropping-particle" : "", "family" : "Gylling", "given" : "H", "non-dropping-particle" : "", "parse-names" : false, "suffix" : "" }, { "dropping-particle" : "", "family" : "Viikari", "given" : "J", "non-dropping-particle" : "", "parse-names" : false, "suffix" : "" }, { "dropping-particle" : "", "family" : "Anttolainen", "given" : "M", "non-dropping-particle" : "", "parse-names" : false, "suffix" : "" }, { "dropping-particle" : "", "family" : "Simell", "given" : "O", "non-dropping-particle" : "", "parse-names" : false, "suffix" : "" } ], "container-title" : "Journal of nutrition", "id" : "ITEM-1", "issue" : "7", "issued" : { "date-parts" : [ [ "2001", "7" ] ] }, "page" : "1942-5", "title" : "Dietary plant sterols alter the serum plant sterol concentration but not the cholesterol precursor sterol concentrations in young children (the STRIP Study)", "type" : "article-journal", "volume" : "131" }, "uris" : [ "http://www.mendeley.com/documents/?uuid=ec180425-c23d-44b4-bc36-ef4620002b60" ] }, { "id" : "ITEM-2", "itemData" : { "ISBN" : "0002-9165", "ISSN" : "00029165", "PMID" : "12145004", "abstract" : "BACKGROUND: Naturally occurring plant sterol esters (SEs) favorably affect serum cholesterol concentrations in humans and could aid in the treatment of children with familial hypercholesterolemia (FH). OBJECTIVE: We studied the effect of SE-enriched spread on serum lipids, lipoproteins, carotenoids, fat-soluble vitamins, and physiologic variables in children with FH aged 7-12 y. DESIGN: In a randomized, double-blind crossover study comprising two 8-wk interventions, 38 children with FH consumed 18.2 +/- 1.5 g SE spread/d, corresponding to 1.60 +/- 0.13 g SEs, or a control spread. Blood samples were analyzed at the start and end of each diet period. RESULTS: Plasma LDL-cholesterol concentrations decreased by 10.2% (P = 0.003) during the SE period compared with the control period. Total cholesterol and apolipoprotein B concentrations were reduced by 7.4% (P = 0.007 and P = 0.020, respectively) during the SE period. No changes were observed in HDL cholesterol, triacylglycerol, or apolipoprotein A-I. Serum concentration of lipid-adjusted lycopene decreased by 8.1% (P = 0.015) in the SE period, with no changes in the other carotenoids. Lipid-adjusted retinol and alpha-tocopherol concentrations increased by 15.6% (P &lt; 0.001) and 7.1% (P = 0.027), respectively. There was an increase (16.8%, P = 0.04) in alanine transaminase in the SE period, but this was explained by a significantly lower starting concentration in the SE period than in the control period. The children consumed a recommended American Heart Association Step I diet during both intervention periods. CONCLUSION: A daily intake of 1.6 g SEs induces an additional reduction in LDL-cholesterol concentrations in children with FH consuming a recommended diet.", "author" : [ { "dropping-particle" : "", "family" : "Amundsen", "given" : "\u00c5got L.", "non-dropping-particle" : "", "parse-names" : false, "suffix" : "" }, { "dropping-particle" : "", "family" : "Ose", "given" : "Leiv", "non-dropping-particle" : "", "parse-names" : false, "suffix" : "" }, { "dropping-particle" : "", "family" : "Nenseter", "given" : "Marit S.", "non-dropping-particle" : "", "parse-names" : false, "suffix" : "" }, { "dropping-particle" : "", "family" : "Ntanios", "given" : "Fady Y.", "non-dropping-particle" : "", "parse-names" : false, "suffix" : "" } ], "container-title" : "American Journal of Clinical Nutrition", "id" : "ITEM-2", "issue" : "2", "issued" : { "date-parts" : [ [ "2002" ] ] }, "page" : "338-344", "title" : "Plant sterol ester-enriched spread lowers plasma total and LDL cholesterol in children with familial hypercholesterolemia", "type" : "article-journal", "volume" : "76" }, "uris" : [ "http://www.mendeley.com/documents/?uuid=52c90cfd-18f4-4300-9e71-97e10ffc8c38" ] }, { "id" : "ITEM-3", "itemData" : { "DOI" : "10.1111/j.1753-4887.2006.tb00224.x", "ISBN" : "5143987547", "ISSN" : "00296643", "PMID" : "17002235", "abstract" : "Recently, it has been questioned whether elevated levels of circulating plant sterols increase the risk of coronary heart disease (CHD). To date, no definitive conclusions regarding such a relationship have been reached, nor have there been any studies summarizing the factors that contribute to the observed elevations in plant sterol concentrations in plasma. Thus, the purpose of this review is to systematically compare the plant sterol levels of subjects from the general population and to describe factors that contribute to the variations observed. The question of whether elevated plasma concentrations of plant sterols are associated with an increased risk of CHD was also assessed. Results indicate that the key factors accounting for variations in circulating plant sterol concentrations include: apolipoprotein E phenotypes, ATP-binding cassette transporter polymorphisms, use of statin drugs, presence of metabolic syndrome, dietary intake of plant sterols, gender, and analytical techniques used in the measurement of plant sterols in the plasma. An analysis of the studies examining the relationship between circulating levels of plant sterols and CHD risk in non-sitosterolemic populations revealed no clear associations. Furthermore, it was shown that the above-mentioned factors play an important role in determining the levels of plant sterols in plasma. Since these factors may act as potential confounders, they must be controlled for before more solid conclusions can be reached.", "author" : [ { "dropping-particle" : "", "family" : "Chan", "given" : "Yen-Ming", "non-dropping-particle" : "", "parse-names" : false, "suffix" : "" }, { "dropping-particle" : "", "family" : "Varady", "given" : "Krista a", "non-dropping-particle" : "", "parse-names" : false, "suffix" : "" }, { "dropping-particle" : "", "family" : "Lin", "given" : "Yuguang", "non-dropping-particle" : "", "parse-names" : false, "suffix" : "" }, { "dropping-particle" : "", "family" : "Trautwein", "given" : "Elke", "non-dropping-particle" : "", "parse-names" : false, "suffix" : "" }, { "dropping-particle" : "", "family" : "Mensink", "given" : "Ronald P", "non-dropping-particle" : "", "parse-names" : false, "suffix" : "" }, { "dropping-particle" : "", "family" : "Plat", "given" : "Jogchum", "non-dropping-particle" : "", "parse-names" : false, "suffix" : "" }, { "dropping-particle" : "", "family" : "Jones", "given" : "Peter J.H.", "non-dropping-particle" : "", "parse-names" : false, "suffix" : "" } ], "container-title" : "Nutrition Reviews", "id" : "ITEM-3", "issue" : "9", "issued" : { "date-parts" : [ [ "2006", "9" ] ] }, "page" : "385-402", "title" : "Plasma Concentrations of Plant Sterols: Physiology and Relationship with Coronary Heart Disease", "type" : "article-journal", "volume" : "64" }, "uris" : [ "http://www.mendeley.com/documents/?uuid=75a80c2f-6b4c-4800-824c-699ccca0fcce" ] } ], "mendeley" : { "formattedCitation" : "(Tammi et al. 2001; Amundsen et al. 2002; Chan et al. 2006)", "plainTextFormattedCitation" : "(Tammi et al. 2001; Amundsen et al. 2002; Chan et al. 2006)", "previouslyFormattedCitation" : "(Tammi et al. 2001; Amundsen et al. 2002; Chan et al. 2006)"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(Tammi et al. 2001; Amundsen et al. 2002; Chan et al. 2006)</w:t>
      </w:r>
      <w:r w:rsidRPr="00547FB5">
        <w:rPr>
          <w:lang w:val="en-GB" w:eastAsia="en-AU" w:bidi="ar-SA"/>
        </w:rPr>
        <w:fldChar w:fldCharType="end"/>
      </w:r>
      <w:r w:rsidRPr="00547FB5">
        <w:rPr>
          <w:lang w:val="en-GB" w:eastAsia="en-AU" w:bidi="ar-SA"/>
        </w:rPr>
        <w:t>.</w:t>
      </w:r>
    </w:p>
    <w:p w14:paraId="6F13D85A" w14:textId="77777777" w:rsidR="0051780C" w:rsidRPr="00547FB5" w:rsidRDefault="0051780C" w:rsidP="0051780C">
      <w:pPr>
        <w:rPr>
          <w:lang w:val="en-GB" w:eastAsia="en-AU" w:bidi="ar-SA"/>
        </w:rPr>
      </w:pPr>
    </w:p>
    <w:p w14:paraId="721706CC" w14:textId="77777777" w:rsidR="00724D8F" w:rsidRDefault="0051780C" w:rsidP="00E87935">
      <w:pPr>
        <w:rPr>
          <w:lang w:val="en-GB"/>
        </w:rPr>
      </w:pPr>
      <w:r w:rsidRPr="00547FB5">
        <w:rPr>
          <w:lang w:val="en-GB"/>
        </w:rPr>
        <w:t>By contrast with adult subjects, there are fewer reported clinical trials of plant sterols in children and these are mainly limited to child subjects with familial hypercholesterol</w:t>
      </w:r>
      <w:r w:rsidR="001072B9">
        <w:rPr>
          <w:lang w:val="en-GB"/>
        </w:rPr>
        <w:t>a</w:t>
      </w:r>
      <w:r w:rsidRPr="00547FB5">
        <w:rPr>
          <w:lang w:val="en-GB"/>
        </w:rPr>
        <w:t xml:space="preserve">emia (FH) </w:t>
      </w:r>
      <w:r w:rsidRPr="00547FB5">
        <w:rPr>
          <w:lang w:val="en-GB"/>
        </w:rPr>
        <w:fldChar w:fldCharType="begin" w:fldLock="1"/>
      </w:r>
      <w:r w:rsidRPr="00547FB5">
        <w:rPr>
          <w:lang w:val="en-GB"/>
        </w:rPr>
        <w:instrText>ADDIN CSL_CITATION { "citationItems" : [ { "id" : "ITEM-1", "itemData" : { "DOI" : "10.1007/s00592-010-0233-1", "ISSN" : "0940-5429", "author" : [ { "dropping-particle" : "", "family" : "Guardamagna", "given" : "O.", "non-dropping-particle" : "", "parse-names" : false, "suffix" : "" }, { "dropping-particle" : "", "family" : "Abello", "given" : "F.", "non-dropping-particle" : "", "parse-names" : false, "suffix" : "" }, { "dropping-particle" : "", "family" : "Baracco", "given" : "V.", "non-dropping-particle" : "", "parse-names" : false, "suffix" : "" }, { "dropping-particle" : "", "family" : "Federici", "given" : "G.", "non-dropping-particle" : "", "parse-names" : false, "suffix" : "" }, { "dropping-particle" : "", "family" : "Bertucci", "given" : "P.", "non-dropping-particle" : "", "parse-names" : false, "suffix" : "" }, { "dropping-particle" : "", "family" : "Mozzi", "given" : "A.", "non-dropping-particle" : "", "parse-names" : false, "suffix" : "" }, { "dropping-particle" : "", "family" : "Mannucci", "given" : "L.", "non-dropping-particle" : "", "parse-names" : false, "suffix" : "" }, { "dropping-particle" : "", "family" : "Gnasso", "given" : "A.", "non-dropping-particle" : "", "parse-names" : false, "suffix" : "" }, { "dropping-particle" : "", "family" : "Cortese", "given" : "C.", "non-dropping-particle" : "", "parse-names" : false, "suffix" : "" } ], "container-title" : "Acta Diabetologica", "id" : "ITEM-1", "issue" : "2", "issued" : { "date-parts" : [ [ "2011", "6", "6" ] ] }, "page" : "127-133", "title" : "Primary hyperlipidemias in children: effect of plant sterol supplementation on plasma lipids and markers of cholesterol synthesis and absorption", "type" : "article-journal", "volume" : "48" }, "uris" : [ "http://www.mendeley.com/documents/?uuid=48421309-05c1-4611-87e8-ee0a40cfd5de" ] } ], "mendeley" : { "formattedCitation" : "(Guardamagna et al. 2011)", "plainTextFormattedCitation" : "(Guardamagna et al. 2011)", "previouslyFormattedCitation" : "(Guardamagna et al. 2011)" }, "properties" : { "noteIndex" : 0 }, "schema" : "https://github.com/citation-style-language/schema/raw/master/csl-citation.json" }</w:instrText>
      </w:r>
      <w:r w:rsidRPr="00547FB5">
        <w:rPr>
          <w:lang w:val="en-GB"/>
        </w:rPr>
        <w:fldChar w:fldCharType="separate"/>
      </w:r>
      <w:r w:rsidRPr="00547FB5">
        <w:rPr>
          <w:noProof/>
          <w:lang w:val="en-GB"/>
        </w:rPr>
        <w:t>(Guardamagna et al. 2011)</w:t>
      </w:r>
      <w:r w:rsidRPr="00547FB5">
        <w:rPr>
          <w:lang w:val="en-GB"/>
        </w:rPr>
        <w:fldChar w:fldCharType="end"/>
      </w:r>
      <w:r w:rsidRPr="00547FB5">
        <w:rPr>
          <w:lang w:val="en-GB"/>
        </w:rPr>
        <w:t xml:space="preserve">. Results from such studies in which up to daily doses of 6 g of the of </w:t>
      </w:r>
      <w:r w:rsidR="0038105B">
        <w:rPr>
          <w:lang w:val="en-GB"/>
        </w:rPr>
        <w:t>total</w:t>
      </w:r>
      <w:r w:rsidR="00A44A34">
        <w:rPr>
          <w:lang w:val="en-GB"/>
        </w:rPr>
        <w:t xml:space="preserve"> plant sterol</w:t>
      </w:r>
      <w:r w:rsidRPr="00547FB5">
        <w:rPr>
          <w:lang w:val="en-GB"/>
        </w:rPr>
        <w:t xml:space="preserve"> </w:t>
      </w:r>
      <w:r w:rsidR="00E87935">
        <w:rPr>
          <w:lang w:val="en-GB"/>
        </w:rPr>
        <w:t xml:space="preserve">equivalents </w:t>
      </w:r>
      <w:r w:rsidRPr="00547FB5">
        <w:rPr>
          <w:lang w:val="en-GB"/>
        </w:rPr>
        <w:t>were consumed by children (2</w:t>
      </w:r>
      <w:r>
        <w:rPr>
          <w:lang w:val="en-GB"/>
        </w:rPr>
        <w:sym w:font="Symbol" w:char="F02D"/>
      </w:r>
      <w:r w:rsidRPr="00F0687E">
        <w:rPr>
          <w:lang w:val="en-GB"/>
        </w:rPr>
        <w:t xml:space="preserve">17 years of age) for up to six months show that total and LDL cholesterol concentrations are significantly decreased without adversely affecting HDL cholesterol concentrations </w:t>
      </w:r>
      <w:r w:rsidRPr="00F0687E">
        <w:rPr>
          <w:lang w:val="en-GB"/>
        </w:rPr>
        <w:fldChar w:fldCharType="begin" w:fldLock="1"/>
      </w:r>
      <w:r w:rsidRPr="00F0687E">
        <w:rPr>
          <w:lang w:val="en-GB"/>
        </w:rPr>
        <w:instrText>ADDIN CSL_CITATION { "citationItems" : [ { "id" : "ITEM-1", "itemData" : { "ISSN" : "09647058", "abstract" : "Background: The incidence of hyperlipidemia in children is increasing in Japan, but drug therapy for such children is limited. The ingestion of 4% phytosterols-containing diacylglycerol (PS/DAG) decreases serum total cholesterol and low density lipoprotein cholesterol (LDL-C) concentrations in adults. In the present study, we examined the effect of PS/DAG as part of a diet therapy in pediatric patients with hyperlipidemia. Methods: Pediatric patients with hyperlipidemia with &gt;or =5.18mmol (200 mg/dL) serum total cholesterol and/or &gt;or =1.70mmol (150 mg/dL) triglycerides (N=22) ingested bread containing PS/DAG (total daily intake, 10g) for 6 months. Blood chemistry was examined prior to and 2, 4, 6 months after the initiation of ingestion, and 4 months after the ingestion period. Results: No significant differences in energy intake or cholesterol intake during the study period were found. After 4 months of ingestion of PS/DAG, LDL-C, lipoprotein(a) [ Lp(a)], free fatty acids and total ketone bodies decreased significantly. In seven patients with familial hypercholesterolemia, total cholesterol and remnant-like lipoprotein particles (RLP)-cholesterol also significantly decreased in addition to LDL-C and Lp(a). Conclusions: PS/DAG improves serum lipid metabolism in pediatric patients with hyperlipidemia for whom drug therapy is limited, suggesting that PS/DAG may reduce the risk of developing various diseases induced by hyperlipidemia", "author" : [ { "dropping-particle" : "", "family" : "Matsuyama", "given" : "Takeshi", "non-dropping-particle" : "", "parse-names" : false, "suffix" : "" }, { "dropping-particle" : "", "family" : "Shoji", "given" : "Kentaro", "non-dropping-particle" : "", "parse-names" : false, "suffix" : "" }, { "dropping-particle" : "", "family" : "Takase", "given" : "Hideto", "non-dropping-particle" : "", "parse-names" : false, "suffix" : "" }, { "dropping-particle" : "", "family" : "Kamimaki", "given" : "Isamu", "non-dropping-particle" : "", "parse-names" : false, "suffix" : "" }, { "dropping-particle" : "", "family" : "Tanaka", "given" : "Yuriko", "non-dropping-particle" : "", "parse-names" : false, "suffix" : "" }, { "dropping-particle" : "", "family" : "Otsuka", "given" : "Atsuko", "non-dropping-particle" : "", "parse-names" : false, "suffix" : "" }, { "dropping-particle" : "", "family" : "Watanabe", "given" : "Hiroyuki", "non-dropping-particle" : "", "parse-names" : false, "suffix" : "" }, { "dropping-particle" : "", "family" : "Hase", "given" : "Tadashi", "non-dropping-particle" : "", "parse-names" : false, "suffix" : "" }, { "dropping-particle" : "", "family" : "Tokimitsu", "given" : "Ichiro", "non-dropping-particle" : "", "parse-names" : false, "suffix" : "" } ], "container-title" : "Asia Pacific Journal of Clinical Nutrition", "id" : "ITEM-1", "issue" : "1", "issued" : { "date-parts" : [ [ "2007" ] ] }, "page" : "40-48", "title" : "Effects of phytosterols in diacylglycerol as part of diet therapy on hyperlipidemia in children", "type" : "article-journal", "volume" : "16" }, "uris" : [ "http://www.mendeley.com/documents/?uuid=58afd11e-e00e-48dd-941a-e966c6a9ea4f" ] }, { "id" : "ITEM-2", "itemData" : { "DOI" : "10.1016/j.jpeds.2005.11.023", "ISBN" : "0022-3476", "ISSN" : "00223476", "abstract" : "Objective: To examine the effect of plant stanols on lipids and endothelial function in pre-pubertal children with familial hypercholesterolemia (FH). Study design: Children with FH (n = 42), aged 7-12 years, were enrolled in a double-blind crossover trial, in which they consumed 500 mL of a low-fat yogurt enriched with 2.0 g of plant stanols and 500 mL of a low-fat placebo yogurt for 4 weeks, separated by a 6-week washout period. Lipid profiles and endothelial function were assessed after both consumption periods. Endothelial function was measured as flow-mediated dilation (FMD) of the brachial artery. Results: This daily intake of 2.0 g of stanols significantly decreased the levels of total cholesterol (TC) by 7.5% and low-density lipoprotein cholesterol (LDL-C) by 9.2% as compared with placebo. High-density lipoprotein cholesterol and triglyceride levels remained unaltered. The reduction of LDL-C levels did not improve FMD, which was 10.5% ?? 5.1% after plant stanol consumption and 10.6% ?? 5.0% after placebo consumption, respectively (P = .852). Conclusion: This study demonstrates that plant stanols reduce LDL-C levels in children with FH without improving endothelial function. ?? 2006 Elsevier Inc. All rights reserved.", "author" : [ { "dropping-particle" : "", "family" : "Jakulj", "given" : "Lily", "non-dropping-particle" : "", "parse-names" : false, "suffix" : "" }, { "dropping-particle" : "", "family" : "Vissers", "given" : "Maud N.", "non-dropping-particle" : "", "parse-names" : false, "suffix" : "" }, { "dropping-particle" : "", "family" : "Rodenburg", "given" : "Jessica", "non-dropping-particle" : "", "parse-names" : false, "suffix" : "" }, { "dropping-particle" : "", "family" : "Wiegman", "given" : "Albert", "non-dropping-particle" : "", "parse-names" : false, "suffix" : "" }, { "dropping-particle" : "", "family" : "Trip", "given" : "Mieke D.", "non-dropping-particle" : "", "parse-names" : false, "suffix" : "" }, { "dropping-particle" : "", "family" : "Kastelein", "given" : "John J.P.", "non-dropping-particle" : "", "parse-names" : false, "suffix" : "" } ], "container-title" : "The Journal of Pediatrics", "id" : "ITEM-2", "issue" : "4", "issued" : { "date-parts" : [ [ "2006", "4" ] ] }, "page" : "495-500", "title" : "Plant stanols do not restore endothelial function in pre-pubertal children with familial hypercholesterolemia despite reduction of low-density lipoprotein cholesterol levels", "type" : "article-journal", "volume" : "148" }, "uris" : [ "http://www.mendeley.com/documents/?uuid=d17bf975-17d6-49e6-a313-3d3ed8395605" ] }, { "id" : "ITEM-3", "itemData" : { "ISBN" : "0031-4005 (Print)\\r0031-4005 (Linking)", "ISSN" : "00314005", "PMID" : "1727999", "abstract" : "Seven prepubertal children (age range 5.3 to 10.8 years) with severe heterozygous familial hypercholesterolemia (serum cholesterol concentration 416 {+/-} 85 mg/dL and low-density lipoprotein [LDL] cholesterol concentration 360 {+/-} 90 mg/dL) were first treated by dietary Intervention, second by sitosterol (3 x 2 g/d), and third by bezafibrate (2 x 200 mg/d). Each treatment period lasted 3 months. Subsequently, a treatment combining half the dose of sitosterol and bezafibrate was administered for the following 24 months. Diet alone reduced total and LDL cholesterol values by 4.5% (not significant) and 6.6% (P &lt; .05), respectively. Sitosterol lowered total and LDL cholesterol values by 17% (P &lt; .05) when compared with diet alone. Compared with sitosterol, bezafibrate produced a more pronounced effect on total and LDL cholesterol values (-18% and -28%, P &lt; .05), and high-density lipoprotein cholesterol concentration increased significantly from 48 mg/dL to 55 mg/dL Combined treatment with half the dose each of sitosterol and bezafibrate was as effective as the higher dose of bezafibrate, and reduction averaged almost 40% and 50% for total and LDL cholesterol values; this lipid-lowering effect persisted for the next 24 months. Laboratory safety parameters and physical examination revealed no obvious side effects. This study indicates that the combination of sitosterol (3 x 1 g/d) plus bezafibrate (1 [khgr] 200 mg/d) is an alternate, acceptable, safe, and effective therapeutic approach for treatment of severe hypercholesterolemia in children with high-risk familial hypercholesterolemia.", "author" : [ { "dropping-particle" : "", "family" : "Becker", "given" : "M.", "non-dropping-particle" : "", "parse-names" : false, "suffix" : "" }, { "dropping-particle" : "", "family" : "Staab", "given" : "D.", "non-dropping-particle" : "", "parse-names" : false, "suffix" : "" }, { "dropping-particle" : "", "family" : "Bergmann", "given" : "K.", "non-dropping-particle" : "Von", "parse-names" : false, "suffix" : "" } ], "container-title" : "Pediatrics", "id" : "ITEM-3", "issue" : "1", "issued" : { "date-parts" : [ [ "1992" ] ] }, "page" : "138-142", "title" : "Long-term treatment of severe familial hypercholesterolemia in children: effect of sitosterol and bezafibrate", "type" : "article-journal", "volume" : "89" }, "uris" : [ "http://www.mendeley.com/documents/?uuid=4a49471b-1bb0-48d1-b2ba-c72a55d15f34" ] }, { "id" : "ITEM-4", "itemData" : { "ISBN" : "0022-2275 (Print)\\r0022-2275 (Linking)", "ISSN" : "0022-2275", "PMID" : "7595101", "abstract" : "In familial hypercholesterolemia (FH) the lowering of serum cholesterol levels should be started in childhood in order to prevent coronary artery disease later in life. However, treatment of children is problematic. We studied the effects of sitostanol (3 g/day) ester dissolved in rapeseed oil margarine as a hypocholesterolemic agent in one homozygous and 14 heterozygous children with FH maintained on a low cholesterol diet for 6 weeks, using a double-blind crossover design. Absorption and synthesis of cholesterol were evaluated by measuring serum plant sterol and cholesterol precursor proportions to cholesterol by gas-liquid chromatography. The compliance was good, and the children could not distinguish by taste the two margarines without and with sitostanol ester. Sitostanol margarine significantly reduced serum total, intermediate density (IDL), and low density lipoprotein (LDL) cholesterol by 11, 26, and 15%, respectively, and increased HDL/LDL cholesterol ratio by 27%. The proportions of serum delta 8-cholestenol, lathosterol, and desmosterol were significantly increased by 36, 19, and 18%, and those of serum cholestanol, campesterol, and sitosterol were significantly decreased by 9, 42 and 29%, respectively, suggesting that cholesterol absorption was decreased and synthesis was compensatorily increased. High basal precursor sterol proportions predicted a high decrease in LDL cholesterol levels. In conclusion, partial replacement of normal dietary fat consumption by sitostanol ester margarine appears to be an effective and safe hypocholesterolemic treatment in children with FH.", "author" : [ { "dropping-particle" : "", "family" : "Gylling", "given" : "H", "non-dropping-particle" : "", "parse-names" : false, "suffix" : "" }, { "dropping-particle" : "", "family" : "Siimes", "given" : "M a", "non-dropping-particle" : "", "parse-names" : false, "suffix" : "" }, { "dropping-particle" : "", "family" : "Miettinen", "given" : "T a", "non-dropping-particle" : "", "parse-names" : false, "suffix" : "" } ], "container-title" : "Journal of Lipid Research", "id" : "ITEM-4", "issue" : "8", "issued" : { "date-parts" : [ [ "1995", "8" ] ] }, "page" : "1807-12", "title" : "Sitostanol ester margarine in dietary treatment of children with familial hypercholesterolemia", "type" : "article-journal", "volume" : "36" }, "uris" : [ "http://www.mendeley.com/documents/?uuid=35063a77-6ca6-440e-8c4d-d078c35494b4" ] }, { "id" : "ITEM-5", "itemData" : { "DOI" : "10.1023/A:1025155002348", "ISBN" : "0141-8955", "ISSN" : "0141-8955", "PMID" : "12971422", "abstract" : "In adults with familial hypercholesterolaemia (FH), cholesterol lowering with statins has been shown to improve the endothelial function, a hallmark of early atherogenesis. Currently, therapeutic options for treating high cholesterol levels in FH children are limited. Plant sterols safely and effectively reduce serum cholesterol concentrations by inhibiting cholesterol absorption. Therefore, we evaluated the effect of plant sterols on cholesterol and vascular function in prepubertal children with FH. We included 41 children (5-12 years old) with FH in a double-blind crossover trial using spreads containing 2.3 g of plant sterols (mainly sitosterol and campesterol) per 15 g spread and a placebo spread for a 4-week period, separated by a 6-week washout period. Lipid levels and endothelial function were assessed after both 4-week treatment periods. Endothelial function was assessed as flow-mediated dilation (FMD) of the brachial artery using a wall tracking system. Data were compared to those of 20 healthy controls. Intake of 2.3 g plant sterols per day decreased total cholesterol (-11%) and low-density cholesterol (-14%) as compared to placebo spread in FH children. FH children treated with placebo spread were characterized by an impaired FMD compared to healthy control children (7.2% +/- 3.4% versus 10.1% +/- 4.2%, p &lt; 0.005). However, the reduction of LDL in FH children did not improve FMD (placebo: 7.2% +/- 3.4% versus plant sterols: 7.7% +/- 4.1%). In conclusion, the present study shows a clear reduction of LDL cholesterol by plant sterol treatment. However, short-term plant sterol treatment does not improve the endothelial function in FH children.", "author" : [ { "dropping-particle" : "", "family" : "Jongh", "given" : "S", "non-dropping-particle" : "de", "parse-names" : false, "suffix" : "" }, { "dropping-particle" : "", "family" : "Vissers", "given" : "M. N.", "non-dropping-particle" : "", "parse-names" : false, "suffix" : "" }, { "dropping-particle" : "", "family" : "Rol", "given" : "P.", "non-dropping-particle" : "", "parse-names" : false, "suffix" : "" }, { "dropping-particle" : "", "family" : "Bakker", "given" : "H. D.", "non-dropping-particle" : "", "parse-names" : false, "suffix" : "" }, { "dropping-particle" : "", "family" : "Kastelein", "given" : "J. J P", "non-dropping-particle" : "", "parse-names" : false, "suffix" : "" }, { "dropping-particle" : "", "family" : "Stroes", "given" : "E. S G", "non-dropping-particle" : "", "parse-names" : false, "suffix" : "" } ], "container-title" : "Journal of Inherited Metabolic Disease", "id" : "ITEM-5", "issue" : "4", "issued" : { "date-parts" : [ [ "2003" ] ] }, "page" : "343-351", "title" : "Plant sterols lower LDL cholesterol without improving endothelial function in prepubertal children with familial hypercholesterolaemia.", "type" : "article-journal", "volume" : "26" }, "uris" : [ "http://www.mendeley.com/documents/?uuid=8c4715be-0aa0-4783-8d73-18a3c57be475" ] }, { "id" : "ITEM-6", "itemData" : { "DOI" : "10.1186/1824-7288-40-42", "ISSN" : "1824-7288", "author" : [ { "dropping-particle" : "", "family" : "Garoufi", "given" : "Anastasia", "non-dropping-particle" : "", "parse-names" : false, "suffix" : "" }, { "dropping-particle" : "", "family" : "Vorre", "given" : "Styliani", "non-dropping-particle" : "", "parse-names" : false, "suffix" : "" }, { "dropping-particle" : "", "family" : "Soldatou", "given" : "Alexandra", "non-dropping-particle" : "", "parse-names" : false, "suffix" : "" }, { "dropping-particle" : "", "family" : "Tsentidis", "given" : "Charalampos", "non-dropping-particle" : "", "parse-names" : false, "suffix" : "" }, { "dropping-particle" : "", "family" : "Kossiva", "given" : "Lydia", "non-dropping-particle" : "", "parse-names" : false, "suffix" : "" }, { "dropping-particle" : "", "family" : "Drakatos", "given" : "Antonios", "non-dropping-particle" : "", "parse-names" : false, "suffix" : "" }, { "dropping-particle" : "", "family" : "Marmarinos", "given" : "Antonios", "non-dropping-particle" : "", "parse-names" : false, "suffix" : "" }, { "dropping-particle" : "", "family" : "Gourgiotis", "given" : "Dimitrios", "non-dropping-particle" : "", "parse-names" : false, "suffix" : "" } ], "container-title" : "Italian Journal of Pediatrics", "id" : "ITEM-6", "issue" : "1", "issued" : { "date-parts" : [ [ "2014" ] ] }, "page" : "42", "title" : "Plant sterols\u2013enriched diet decreases small, dense LDL-cholesterol levels in children with hypercholesterolemia: a prospective study", "type" : "article-journal", "volume" : "40" }, "uris" : [ "http://www.mendeley.com/documents/?uuid=ef3ae73c-d887-4308-92c4-6752b3d274b2" ] } ], "mendeley" : { "formattedCitation" : "(Becker et al. 1992; Gylling et al. 1995; de Jongh et al. 2003; Jakulj et al. 2006; Matsuyama et al. 2007; Garoufi et al. 2014)", "plainTextFormattedCitation" : "(Becker et al. 1992; Gylling et al. 1995; de Jongh et al. 2003; Jakulj et al. 2006; Matsuyama et al. 2007; Garoufi et al. 2014)", "previouslyFormattedCitation" : "(Becker et al. 1992; Gylling et al. 1995; de Jongh et al. 2003; Jakulj et al. 2006; Matsuyama et al. 2007; Garoufi et al. 2014)" }, "properties" : { "noteIndex" : 0 }, "schema" : "https://github.com/citation-style-language/schema/raw/master/csl-citation.json" }</w:instrText>
      </w:r>
      <w:r w:rsidRPr="00F0687E">
        <w:rPr>
          <w:lang w:val="en-GB"/>
        </w:rPr>
        <w:fldChar w:fldCharType="separate"/>
      </w:r>
      <w:r w:rsidRPr="00F0687E">
        <w:rPr>
          <w:noProof/>
          <w:lang w:val="en-GB"/>
        </w:rPr>
        <w:t>(Becker et al. 1992; Gylling et al. 1995; de Jongh et al. 2003; Jakulj et al. 2006; Matsuyama et al. 2007; Garoufi et al. 2014)</w:t>
      </w:r>
      <w:r w:rsidRPr="00F0687E">
        <w:rPr>
          <w:lang w:val="en-GB"/>
        </w:rPr>
        <w:fldChar w:fldCharType="end"/>
      </w:r>
      <w:r w:rsidR="007338EE">
        <w:rPr>
          <w:lang w:val="en-GB"/>
        </w:rPr>
        <w:t xml:space="preserve">. </w:t>
      </w:r>
      <w:r w:rsidR="008A3995">
        <w:rPr>
          <w:lang w:val="en-GB"/>
        </w:rPr>
        <w:t>A d</w:t>
      </w:r>
      <w:r w:rsidRPr="00F0687E">
        <w:rPr>
          <w:lang w:val="en-GB"/>
        </w:rPr>
        <w:t xml:space="preserve">ouble-blind, cross-over clinical study </w:t>
      </w:r>
      <w:r w:rsidRPr="00F0687E">
        <w:rPr>
          <w:lang w:val="en-GB"/>
        </w:rPr>
        <w:fldChar w:fldCharType="begin" w:fldLock="1"/>
      </w:r>
      <w:r w:rsidRPr="00F0687E">
        <w:rPr>
          <w:lang w:val="en-GB"/>
        </w:rPr>
        <w:instrText>ADDIN CSL_CITATION { "citationItems" : [ { "id" : "ITEM-1", "itemData" : { "ISBN" : "0002-9165", "ISSN" : "00029165", "PMID" : "12145004", "abstract" : "BACKGROUND: Naturally occurring plant sterol esters (SEs) favorably affect serum cholesterol concentrations in humans and could aid in the treatment of children with familial hypercholesterolemia (FH). OBJECTIVE: We studied the effect of SE-enriched spread on serum lipids, lipoproteins, carotenoids, fat-soluble vitamins, and physiologic variables in children with FH aged 7-12 y. DESIGN: In a randomized, double-blind crossover study comprising two 8-wk interventions, 38 children with FH consumed 18.2 +/- 1.5 g SE spread/d, corresponding to 1.60 +/- 0.13 g SEs, or a control spread. Blood samples were analyzed at the start and end of each diet period. RESULTS: Plasma LDL-cholesterol concentrations decreased by 10.2% (P = 0.003) during the SE period compared with the control period. Total cholesterol and apolipoprotein B concentrations were reduced by 7.4% (P = 0.007 and P = 0.020, respectively) during the SE period. No changes were observed in HDL cholesterol, triacylglycerol, or apolipoprotein A-I. Serum concentration of lipid-adjusted lycopene decreased by 8.1% (P = 0.015) in the SE period, with no changes in the other carotenoids. Lipid-adjusted retinol and alpha-tocopherol concentrations increased by 15.6% (P &lt; 0.001) and 7.1% (P = 0.027), respectively. There was an increase (16.8%, P = 0.04) in alanine transaminase in the SE period, but this was explained by a significantly lower starting concentration in the SE period than in the control period. The children consumed a recommended American Heart Association Step I diet during both intervention periods. CONCLUSION: A daily intake of 1.6 g SEs induces an additional reduction in LDL-cholesterol concentrations in children with FH consuming a recommended diet.", "author" : [ { "dropping-particle" : "", "family" : "Amundsen", "given" : "\u00c5got L.", "non-dropping-particle" : "", "parse-names" : false, "suffix" : "" }, { "dropping-particle" : "", "family" : "Ose", "given" : "Leiv", "non-dropping-particle" : "", "parse-names" : false, "suffix" : "" }, { "dropping-particle" : "", "family" : "Nenseter", "given" : "Marit S.", "non-dropping-particle" : "", "parse-names" : false, "suffix" : "" }, { "dropping-particle" : "", "family" : "Ntanios", "given" : "Fady Y.", "non-dropping-particle" : "", "parse-names" : false, "suffix" : "" } ], "container-title" : "American Journal of Clinical Nutrition", "id" : "ITEM-1", "issue" : "2", "issued" : { "date-parts" : [ [ "2002" ] ] }, "page" : "338-344", "title" : "Plant sterol ester-enriched spread lowers plasma total and LDL cholesterol in children with familial hypercholesterolemia", "type" : "article-journal", "volume" : "76" }, "uris" : [ "http://www.mendeley.com/documents/?uuid=52c90cfd-18f4-4300-9e71-97e10ffc8c38" ] } ], "mendeley" : { "formattedCitation" : "(Amundsen et al. 2002)", "plainTextFormattedCitation" : "(Amundsen et al. 2002)", "previouslyFormattedCitation" : "(Amundsen et al. 2002)" }, "properties" : { "noteIndex" : 0 }, "schema" : "https://github.com/citation-style-language/schema/raw/master/csl-citation.json" }</w:instrText>
      </w:r>
      <w:r w:rsidRPr="00F0687E">
        <w:rPr>
          <w:lang w:val="en-GB"/>
        </w:rPr>
        <w:fldChar w:fldCharType="separate"/>
      </w:r>
      <w:r w:rsidRPr="00F0687E">
        <w:rPr>
          <w:noProof/>
          <w:lang w:val="en-GB"/>
        </w:rPr>
        <w:t>(Amundsen et al. 2002)</w:t>
      </w:r>
      <w:r w:rsidRPr="00F0687E">
        <w:rPr>
          <w:lang w:val="en-GB"/>
        </w:rPr>
        <w:fldChar w:fldCharType="end"/>
      </w:r>
      <w:r w:rsidRPr="00F0687E">
        <w:rPr>
          <w:lang w:val="en-GB"/>
        </w:rPr>
        <w:t xml:space="preserve"> in which thirty-eight children (19 girls, aged 7</w:t>
      </w:r>
      <w:r>
        <w:rPr>
          <w:lang w:val="en-GB"/>
        </w:rPr>
        <w:sym w:font="Symbol" w:char="F02D"/>
      </w:r>
      <w:r w:rsidRPr="00F0687E">
        <w:rPr>
          <w:lang w:val="en-GB"/>
        </w:rPr>
        <w:t xml:space="preserve">13 </w:t>
      </w:r>
      <w:r w:rsidR="007338EE">
        <w:rPr>
          <w:lang w:val="en-GB"/>
        </w:rPr>
        <w:t>years of age)</w:t>
      </w:r>
      <w:r w:rsidRPr="00F0687E">
        <w:rPr>
          <w:lang w:val="en-GB"/>
        </w:rPr>
        <w:t xml:space="preserve"> all of whom had at least one parent with </w:t>
      </w:r>
      <w:r w:rsidRPr="00F0687E">
        <w:rPr>
          <w:rFonts w:cs="Arial"/>
          <w:noProof/>
          <w:lang w:val="en-GB"/>
        </w:rPr>
        <w:t>familial hypercholesterol</w:t>
      </w:r>
      <w:r w:rsidR="001072B9">
        <w:rPr>
          <w:rFonts w:cs="Arial"/>
          <w:noProof/>
          <w:lang w:val="en-GB"/>
        </w:rPr>
        <w:t>a</w:t>
      </w:r>
      <w:r w:rsidRPr="00F0687E">
        <w:rPr>
          <w:rFonts w:cs="Arial"/>
          <w:noProof/>
          <w:lang w:val="en-GB"/>
        </w:rPr>
        <w:t>emia</w:t>
      </w:r>
      <w:r w:rsidRPr="00F0687E">
        <w:rPr>
          <w:lang w:val="en-GB"/>
        </w:rPr>
        <w:t xml:space="preserve"> (FH)</w:t>
      </w:r>
      <w:r w:rsidR="007338EE">
        <w:rPr>
          <w:lang w:val="en-GB"/>
        </w:rPr>
        <w:t>,</w:t>
      </w:r>
      <w:r w:rsidRPr="00F0687E">
        <w:rPr>
          <w:lang w:val="en-GB"/>
        </w:rPr>
        <w:t xml:space="preserve"> but were otherwise healthy, showed that </w:t>
      </w:r>
      <w:r w:rsidR="007338EE">
        <w:rPr>
          <w:lang w:val="en-GB"/>
        </w:rPr>
        <w:t xml:space="preserve">the </w:t>
      </w:r>
      <w:r w:rsidRPr="00F0687E">
        <w:rPr>
          <w:lang w:val="en-GB"/>
        </w:rPr>
        <w:t>consumption of 1.6 g/day of plant sterol esters within a diet low in both saturated fatty acids and cholesterol and rich in unsaturated fatty acids, fruits, and vegetables, reduced (8.1%, p = 0.015) the mean serum lycopene concentration but not that for the other carotenoids after adjusting for changes in blood lipids</w:t>
      </w:r>
      <w:r>
        <w:rPr>
          <w:lang w:val="en-GB"/>
        </w:rPr>
        <w:t xml:space="preserve">. </w:t>
      </w:r>
      <w:r w:rsidR="00724D8F">
        <w:rPr>
          <w:lang w:val="en-GB"/>
        </w:rPr>
        <w:br w:type="page"/>
      </w:r>
    </w:p>
    <w:p w14:paraId="675FD893" w14:textId="3B3818AA" w:rsidR="0051780C" w:rsidRPr="00547FB5" w:rsidRDefault="0051780C" w:rsidP="00E87935">
      <w:pPr>
        <w:rPr>
          <w:lang w:val="en-GB"/>
        </w:rPr>
      </w:pPr>
      <w:r w:rsidRPr="00F0687E">
        <w:rPr>
          <w:lang w:val="en-GB"/>
        </w:rPr>
        <w:lastRenderedPageBreak/>
        <w:t xml:space="preserve">Furthermore, the lipid-adjusted retinol and α-tocopherol concentrations were both significantly higher (15.6 and 7.1%, respectively) at the end of the eight-week study. It should, however, be noted that the mean serum </w:t>
      </w:r>
      <w:r w:rsidR="008F7AEC">
        <w:rPr>
          <w:lang w:val="en-GB"/>
        </w:rPr>
        <w:t>alanine aminotransferase</w:t>
      </w:r>
      <w:r w:rsidRPr="00F0687E">
        <w:rPr>
          <w:lang w:val="en-GB"/>
        </w:rPr>
        <w:t xml:space="preserve"> concentration increased during the intervention phase of the trial, although none of the children had a serum </w:t>
      </w:r>
      <w:r w:rsidR="008F7AEC">
        <w:rPr>
          <w:lang w:val="en-GB"/>
        </w:rPr>
        <w:t>alanine aminotransferase</w:t>
      </w:r>
      <w:r w:rsidRPr="00F0687E">
        <w:rPr>
          <w:lang w:val="en-GB"/>
        </w:rPr>
        <w:t xml:space="preserve"> concentration that was outside the normal range</w:t>
      </w:r>
      <w:r>
        <w:rPr>
          <w:lang w:val="en-GB"/>
        </w:rPr>
        <w:t xml:space="preserve">. </w:t>
      </w:r>
      <w:r w:rsidRPr="00F0687E">
        <w:rPr>
          <w:lang w:val="en-GB"/>
        </w:rPr>
        <w:t xml:space="preserve">The authors noted the mean serum </w:t>
      </w:r>
      <w:r w:rsidR="008F7AEC">
        <w:rPr>
          <w:lang w:val="en-GB"/>
        </w:rPr>
        <w:t>alanine aminotransferase</w:t>
      </w:r>
      <w:r w:rsidRPr="00F0687E">
        <w:rPr>
          <w:lang w:val="en-GB"/>
        </w:rPr>
        <w:t xml:space="preserve"> concentration at the beginning of the intervention phase of the trial was significantly lower than that at the beginning of the control phase. It should also be noted that the mean serum </w:t>
      </w:r>
      <w:r w:rsidR="008F7AEC">
        <w:rPr>
          <w:lang w:val="en-GB"/>
        </w:rPr>
        <w:t>alanine aminotransferase</w:t>
      </w:r>
      <w:r w:rsidRPr="00F0687E">
        <w:rPr>
          <w:lang w:val="en-GB"/>
        </w:rPr>
        <w:t xml:space="preserve"> concentration (16.3 ± 5.5 U/L) at the end of the intervention phase was the same as that (16.4 ± 6.0 U/L) at the beginning of the control phase of the tri</w:t>
      </w:r>
      <w:r w:rsidR="00A56D97">
        <w:rPr>
          <w:lang w:val="en-GB"/>
        </w:rPr>
        <w:t>a</w:t>
      </w:r>
      <w:r w:rsidRPr="00F0687E">
        <w:rPr>
          <w:lang w:val="en-GB"/>
        </w:rPr>
        <w:t xml:space="preserve">l. Regression to the mean is a reasonable explanation for the increase in the serum </w:t>
      </w:r>
      <w:r w:rsidR="008F7AEC">
        <w:rPr>
          <w:lang w:val="en-GB"/>
        </w:rPr>
        <w:t>alanine aminotransferase</w:t>
      </w:r>
      <w:r w:rsidRPr="00F0687E">
        <w:rPr>
          <w:lang w:val="en-GB"/>
        </w:rPr>
        <w:t xml:space="preserve"> concentration – particularly given that the changes in the other two liver enzymes (alkaline phosphatase and aspartate transaminase) that were measured during the trial were not significant. An open-label follow-up study </w:t>
      </w:r>
      <w:r w:rsidRPr="00F0687E">
        <w:rPr>
          <w:lang w:val="en-GB"/>
        </w:rPr>
        <w:fldChar w:fldCharType="begin" w:fldLock="1"/>
      </w:r>
      <w:r w:rsidRPr="00F0687E">
        <w:rPr>
          <w:lang w:val="en-GB"/>
        </w:rPr>
        <w:instrText>ADDIN CSL_CITATION { "citationItems" : [ { "id" : "ITEM-1", "itemData" : { "DOI" : "10.1038/sj.ejcn.1602015", "ISSN" : "0954-3007", "author" : [ { "dropping-particle" : "", "family" : "Amundsen", "given" : "\u00c5 L", "non-dropping-particle" : "", "parse-names" : false, "suffix" : "" }, { "dropping-particle" : "", "family" : "Ntanios", "given" : "F", "non-dropping-particle" : "", "parse-names" : false, "suffix" : "" }, { "dropping-particle" : "van der", "family" : "Put", "given" : "N", "non-dropping-particle" : "", "parse-names" : false, "suffix" : "" }, { "dropping-particle" : "", "family" : "Ose", "given" : "L", "non-dropping-particle" : "", "parse-names" : false, "suffix" : "" } ], "container-title" : "European Journal of Clinical Nutrition", "id" : "ITEM-1", "issue" : "12", "issued" : { "date-parts" : [ [ "2004", "12", "16" ] ] }, "page" : "1612-1620", "title" : "Long-term compliance and changes in plasma lipids, plant sterols and carotenoids in children and parents with FH consuming plant sterol ester-enriched spread", "type" : "article-journal", "volume" : "58" }, "uris" : [ "http://www.mendeley.com/documents/?uuid=b80fd0c9-67e6-4ef5-ba10-4db02b304c92" ] } ], "mendeley" : { "formattedCitation" : "(Amundsen et al. 2004)", "plainTextFormattedCitation" : "(Amundsen et al. 2004)", "previouslyFormattedCitation" : "(Amundsen et al. 2004)" }, "properties" : { "noteIndex" : 0 }, "schema" : "https://github.com/citation-style-language/schema/raw/master/csl-citation.json" }</w:instrText>
      </w:r>
      <w:r w:rsidRPr="00F0687E">
        <w:rPr>
          <w:lang w:val="en-GB"/>
        </w:rPr>
        <w:fldChar w:fldCharType="separate"/>
      </w:r>
      <w:r w:rsidRPr="00F0687E">
        <w:rPr>
          <w:noProof/>
          <w:lang w:val="en-GB"/>
        </w:rPr>
        <w:t>(Amundsen et al. 2004)</w:t>
      </w:r>
      <w:r w:rsidRPr="00F0687E">
        <w:rPr>
          <w:lang w:val="en-GB"/>
        </w:rPr>
        <w:fldChar w:fldCharType="end"/>
      </w:r>
      <w:r w:rsidRPr="00F0687E">
        <w:rPr>
          <w:lang w:val="en-GB"/>
        </w:rPr>
        <w:t xml:space="preserve"> involving children (n = 37) with FH revealed that the mean serum HDL cholesterol concentration had decreased by 4.8% (p = 0.041) after consuming 1.5 g of plant sterol esters for 26 weeks. However, the total to HDL-cholesterol ratio improved with the dietary exposure to plant sterols. The authors attributed the decrease in the HDL concentration to the design of the open-label study, which, in contrast to the previous cross-over study (Amundsen et al. 2002), did not control the intake of macronutrients such as fats and carbohydrates. </w:t>
      </w:r>
    </w:p>
    <w:p w14:paraId="63045E2F" w14:textId="77777777" w:rsidR="0051780C" w:rsidRPr="00547FB5" w:rsidRDefault="0051780C" w:rsidP="0051780C">
      <w:pPr>
        <w:rPr>
          <w:rFonts w:cs="Arial"/>
          <w:lang w:val="en-GB"/>
        </w:rPr>
      </w:pPr>
    </w:p>
    <w:p w14:paraId="399E28A9" w14:textId="77221EC0" w:rsidR="0051780C" w:rsidRPr="00547FB5" w:rsidRDefault="0051780C" w:rsidP="00600D1A">
      <w:pPr>
        <w:rPr>
          <w:lang w:val="en-GB"/>
        </w:rPr>
      </w:pPr>
      <w:r w:rsidRPr="00547FB5">
        <w:rPr>
          <w:lang w:val="en-GB"/>
        </w:rPr>
        <w:t xml:space="preserve">A search for clinical studies of the effects of plant sterols during pregnancy and on lactating women and their infants retrieved two articles from the PubMed database. One article </w:t>
      </w:r>
      <w:r w:rsidRPr="00547FB5">
        <w:rPr>
          <w:lang w:val="en-GB"/>
        </w:rPr>
        <w:fldChar w:fldCharType="begin" w:fldLock="1"/>
      </w:r>
      <w:r w:rsidRPr="00547FB5">
        <w:rPr>
          <w:lang w:val="en-GB"/>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"uris" : [ "http://www.mendeley.com/documents/?uuid=6604defc-d129-44a4-b865-003d6ec0f3aa" ] } ], "mendeley" : { "formattedCitation" : "(Mellies et al. 1978)", "plainTextFormattedCitation" : "(Mellies et al. 1978)", "previouslyFormattedCitation" : "(Mellies et al. 1978)" }, "properties" : { "noteIndex" : 0 }, "schema" : "https://github.com/citation-style-language/schema/raw/master/csl-citation.json" }</w:instrText>
      </w:r>
      <w:r w:rsidRPr="00547FB5">
        <w:rPr>
          <w:lang w:val="en-GB"/>
        </w:rPr>
        <w:fldChar w:fldCharType="separate"/>
      </w:r>
      <w:r w:rsidRPr="00547FB5">
        <w:rPr>
          <w:noProof/>
          <w:lang w:val="en-GB"/>
        </w:rPr>
        <w:t>(Mellies et al. 1978)</w:t>
      </w:r>
      <w:r w:rsidRPr="00547FB5">
        <w:rPr>
          <w:lang w:val="en-GB"/>
        </w:rPr>
        <w:fldChar w:fldCharType="end"/>
      </w:r>
      <w:r w:rsidRPr="00547FB5">
        <w:rPr>
          <w:lang w:val="en-GB"/>
        </w:rPr>
        <w:t xml:space="preserve"> describes a cross-over trial (n = 14) that was designed to study the effect of maternal intake of cholesterol, fatty acids and plant sterols on maternal and infant blood and breast milk concentrations of fatty acids and the two sterols. The other article </w:t>
      </w:r>
      <w:r w:rsidRPr="00547FB5">
        <w:rPr>
          <w:lang w:val="en-GB"/>
        </w:rPr>
        <w:fldChar w:fldCharType="begin" w:fldLock="1"/>
      </w:r>
      <w:r w:rsidRPr="00547FB5">
        <w:rPr>
          <w:lang w:val="en-GB"/>
        </w:rPr>
        <w:instrText>ADDIN CSL_CITATION { "citationItems" : [ { "id" : "ITEM-1", "itemData" : { "DOI" : "10.1017/S0007114508133608", "ISSN" : "0007-1145", "author" : [ { "dropping-particle" : "", "family" : "Laitinen", "given" : "K.", "non-dropping-particle" : "", "parse-names" : false, "suffix" : "" }, { "dropping-particle" : "", "family" : "Isolauri", "given" : "E.", "non-dropping-particle" : "", "parse-names" : false, "suffix" : "" }, { "dropping-particle" : "", "family" : "Kaipiainen", "given" : "L.", "non-dropping-particle" : "", "parse-names" : false, "suffix" : "" }, { "dropping-particle" : "", "family" : "Gylling", "given" : "H.", "non-dropping-particle" : "", "parse-names" : false, "suffix" : "" }, { "dropping-particle" : "", "family" : "Miettinen", "given" : "T.A.", "non-dropping-particle" : "", "parse-names" : false, "suffix" : "" } ], "container-title" : "British Journal of Nutrition", "id" : "ITEM-1", "issue" : "12", "issued" : { "date-parts" : [ [ "2009", "6", "19" ] ] }, "page" : "1797", "title" : "Plant stanol ester spreads as components of a balanced diet for pregnant and breast-feeding women: evaluation of clinical safety", "type" : "article-journal", "volume" : "101" }, "uris" : [ "http://www.mendeley.com/documents/?uuid=d048c73f-3e23-4195-bf47-f0ad887a6a90" ] } ], "mendeley" : { "formattedCitation" : "(Laitinen et al. 2009)", "plainTextFormattedCitation" : "(Laitinen et al. 2009)", "previouslyFormattedCitation" : "(Laitinen et al. 2009)" }, "properties" : { "noteIndex" : 0 }, "schema" : "https://github.com/citation-style-language/schema/raw/master/csl-citation.json" }</w:instrText>
      </w:r>
      <w:r w:rsidRPr="00547FB5">
        <w:rPr>
          <w:lang w:val="en-GB"/>
        </w:rPr>
        <w:fldChar w:fldCharType="separate"/>
      </w:r>
      <w:r w:rsidRPr="00547FB5">
        <w:rPr>
          <w:noProof/>
          <w:lang w:val="en-GB"/>
        </w:rPr>
        <w:t>(Laitinen et al. 2009)</w:t>
      </w:r>
      <w:r w:rsidRPr="00547FB5">
        <w:rPr>
          <w:lang w:val="en-GB"/>
        </w:rPr>
        <w:fldChar w:fldCharType="end"/>
      </w:r>
      <w:r w:rsidRPr="00547FB5">
        <w:rPr>
          <w:lang w:val="en-GB"/>
        </w:rPr>
        <w:t xml:space="preserve"> describes a study with a parallel design in which pregnant women were randomised to control (n = 10) and intervention (n = 11) arms to evaluate the clinical safety of phytostanol esters. </w:t>
      </w:r>
    </w:p>
    <w:p w14:paraId="038AB157" w14:textId="77777777" w:rsidR="0051780C" w:rsidRPr="00547FB5" w:rsidRDefault="0051780C" w:rsidP="0051780C">
      <w:pPr>
        <w:rPr>
          <w:lang w:val="en-GB"/>
        </w:rPr>
      </w:pPr>
    </w:p>
    <w:p w14:paraId="7AC21731" w14:textId="77777777" w:rsidR="0051780C" w:rsidRDefault="0051780C" w:rsidP="0051780C">
      <w:pPr>
        <w:rPr>
          <w:lang w:val="en-GB" w:eastAsia="en-AU" w:bidi="ar-SA"/>
        </w:rPr>
      </w:pPr>
      <w:r w:rsidRPr="00547FB5">
        <w:rPr>
          <w:lang w:val="en-GB"/>
        </w:rPr>
        <w:t xml:space="preserve">In the cross-over study by </w:t>
      </w:r>
      <w:r w:rsidRPr="00547FB5">
        <w:rPr>
          <w:noProof/>
          <w:lang w:val="en-GB" w:eastAsia="en-AU" w:bidi="ar-SA"/>
        </w:rPr>
        <w:t xml:space="preserve">Mellies et al. </w:t>
      </w:r>
      <w:r w:rsidRPr="00547FB5">
        <w:rPr>
          <w:lang w:val="en-GB" w:eastAsia="en-AU" w:bidi="ar-SA"/>
        </w:rPr>
        <w:fldChar w:fldCharType="begin" w:fldLock="1"/>
      </w:r>
      <w:r w:rsidRPr="00547FB5">
        <w:rPr>
          <w:lang w:val="en-GB" w:eastAsia="en-AU" w:bidi="ar-SA"/>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"suppress-author" : 1, "uris" : [ "http://www.mendeley.com/documents/?uuid=6604defc-d129-44a4-b865-003d6ec0f3aa" ] } ], "mendeley" : { "formattedCitation" : "(1978)", "plainTextFormattedCitation" : "(1978)", "previouslyFormattedCitation" : "(1978)"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(1978)</w:t>
      </w:r>
      <w:r w:rsidRPr="00547FB5">
        <w:rPr>
          <w:lang w:val="en-GB" w:eastAsia="en-AU" w:bidi="ar-SA"/>
        </w:rPr>
        <w:fldChar w:fldCharType="end"/>
      </w:r>
      <w:r w:rsidRPr="00547FB5">
        <w:rPr>
          <w:lang w:val="en-GB" w:eastAsia="en-AU" w:bidi="ar-SA"/>
        </w:rPr>
        <w:t xml:space="preserve">, mothers had an </w:t>
      </w:r>
      <w:r w:rsidRPr="0084154A">
        <w:rPr>
          <w:i/>
          <w:iCs/>
          <w:lang w:val="en-GB" w:eastAsia="en-AU" w:bidi="ar-SA"/>
        </w:rPr>
        <w:t>ad libitum</w:t>
      </w:r>
      <w:r w:rsidRPr="00547FB5">
        <w:rPr>
          <w:lang w:val="en-GB" w:eastAsia="en-AU" w:bidi="ar-SA"/>
        </w:rPr>
        <w:t xml:space="preserve"> diet for 30 days after delivery and then were randomised to one of two diets: i) a diet low in cholesterol </w:t>
      </w:r>
    </w:p>
    <w:p w14:paraId="0300A2AC" w14:textId="343E73DA" w:rsidR="0051780C" w:rsidRPr="00547FB5" w:rsidRDefault="0051780C" w:rsidP="001072B9">
      <w:pPr>
        <w:rPr>
          <w:lang w:val="en-GB" w:eastAsia="en-AU" w:bidi="ar-SA"/>
        </w:rPr>
      </w:pPr>
      <w:r w:rsidRPr="00547FB5">
        <w:rPr>
          <w:lang w:val="en-GB" w:eastAsia="en-AU" w:bidi="ar-SA"/>
        </w:rPr>
        <w:t>(190 mg/day) and high in plant sterol (1200 mg/day) with a poly</w:t>
      </w:r>
      <w:r w:rsidR="001072B9">
        <w:rPr>
          <w:lang w:val="en-GB" w:eastAsia="en-AU" w:bidi="ar-SA"/>
        </w:rPr>
        <w:t xml:space="preserve">unsaturated to </w:t>
      </w:r>
      <w:r w:rsidRPr="00547FB5">
        <w:rPr>
          <w:lang w:val="en-GB" w:eastAsia="en-AU" w:bidi="ar-SA"/>
        </w:rPr>
        <w:t>saturated fatty acid ratio of 1.8; and ii) a diet high in cholesterol (520 mg/day) and low in plant sterol (50 mg/day) with a poly</w:t>
      </w:r>
      <w:r w:rsidR="006C4D5D">
        <w:rPr>
          <w:lang w:val="en-GB" w:eastAsia="en-AU" w:bidi="ar-SA"/>
        </w:rPr>
        <w:t>un</w:t>
      </w:r>
      <w:r w:rsidRPr="00547FB5">
        <w:rPr>
          <w:lang w:val="en-GB" w:eastAsia="en-AU" w:bidi="ar-SA"/>
        </w:rPr>
        <w:t xml:space="preserve">saturated </w:t>
      </w:r>
      <w:r w:rsidR="006C545B">
        <w:rPr>
          <w:lang w:val="en-GB" w:eastAsia="en-AU" w:bidi="ar-SA"/>
        </w:rPr>
        <w:t xml:space="preserve">to saturated </w:t>
      </w:r>
      <w:r w:rsidRPr="00547FB5">
        <w:rPr>
          <w:lang w:val="en-GB" w:eastAsia="en-AU" w:bidi="ar-SA"/>
        </w:rPr>
        <w:t xml:space="preserve">fatty acid ratio of 0.12. After four weeks, the mothers were crossed over to the alternative diet. Cholesterol concentrations in the breast milk did not change after the ad libitum phase or following either of </w:t>
      </w:r>
      <w:r w:rsidR="0011417E">
        <w:rPr>
          <w:lang w:val="en-GB" w:eastAsia="en-AU" w:bidi="ar-SA"/>
        </w:rPr>
        <w:t xml:space="preserve">the </w:t>
      </w:r>
      <w:r w:rsidRPr="00547FB5">
        <w:rPr>
          <w:lang w:val="en-GB" w:eastAsia="en-AU" w:bidi="ar-SA"/>
        </w:rPr>
        <w:t>intervention diets. Significant reduction</w:t>
      </w:r>
      <w:r w:rsidR="0011417E">
        <w:rPr>
          <w:lang w:val="en-GB" w:eastAsia="en-AU" w:bidi="ar-SA"/>
        </w:rPr>
        <w:t>s</w:t>
      </w:r>
      <w:r w:rsidRPr="00547FB5">
        <w:rPr>
          <w:lang w:val="en-GB" w:eastAsia="en-AU" w:bidi="ar-SA"/>
        </w:rPr>
        <w:t xml:space="preserve"> in maternal blood cholesterol concentrations were reported for both intervention diets compared with the blood cholesterol concentration for the ad libitum diet. Infant blood cholesterol was not changed when the mothers were on either intervention diet compared with the infant blood cholesterol concentration when mothers consumed an ad libitum diet. There were significant correlations between plant sterol concentrations in diet and maternal blood, maternal blood and breast milk as well </w:t>
      </w:r>
      <w:r w:rsidR="0020266F">
        <w:rPr>
          <w:lang w:val="en-GB" w:eastAsia="en-AU" w:bidi="ar-SA"/>
        </w:rPr>
        <w:t xml:space="preserve">as </w:t>
      </w:r>
      <w:r w:rsidRPr="00547FB5">
        <w:rPr>
          <w:lang w:val="en-GB" w:eastAsia="en-AU" w:bidi="ar-SA"/>
        </w:rPr>
        <w:t xml:space="preserve">between breast milk and infant blood. For cholesterol, there was only a significant correlation between concentration in the diet and maternal blood. No significant correlation was noted for cholesterol concentrations in maternal blood and breast milk or in breast milk and infants’ blood. The fatty acid profile concentrations in maternal breast milk as reported by </w:t>
      </w:r>
      <w:r w:rsidRPr="00547FB5">
        <w:rPr>
          <w:noProof/>
          <w:lang w:val="en-GB" w:eastAsia="en-AU" w:bidi="ar-SA"/>
        </w:rPr>
        <w:t xml:space="preserve">Mellies et al. </w:t>
      </w:r>
      <w:r w:rsidRPr="00547FB5">
        <w:rPr>
          <w:lang w:val="en-GB" w:eastAsia="en-AU" w:bidi="ar-SA"/>
        </w:rPr>
        <w:fldChar w:fldCharType="begin" w:fldLock="1"/>
      </w:r>
      <w:r w:rsidRPr="00547FB5">
        <w:rPr>
          <w:lang w:val="en-GB" w:eastAsia="en-AU" w:bidi="ar-SA"/>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"suppress-author" : 1, "uris" : [ "http://www.mendeley.com/documents/?uuid=6604defc-d129-44a4-b865-003d6ec0f3aa" ] } ], "mendeley" : { "formattedCitation" : "(1978)", "plainTextFormattedCitation" : "(1978)", "previouslyFormattedCitation" : "(1978)"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(1978)</w:t>
      </w:r>
      <w:r w:rsidRPr="00547FB5">
        <w:rPr>
          <w:lang w:val="en-GB" w:eastAsia="en-AU" w:bidi="ar-SA"/>
        </w:rPr>
        <w:fldChar w:fldCharType="end"/>
      </w:r>
      <w:r w:rsidRPr="00547FB5">
        <w:rPr>
          <w:lang w:val="en-GB" w:eastAsia="en-AU" w:bidi="ar-SA"/>
        </w:rPr>
        <w:t xml:space="preserve"> was comparable with that reported by other studies in which the breast-feeding mothers followed similar </w:t>
      </w:r>
      <w:r w:rsidRPr="0084154A">
        <w:rPr>
          <w:i/>
          <w:iCs/>
          <w:lang w:val="en-GB" w:eastAsia="en-AU" w:bidi="ar-SA"/>
        </w:rPr>
        <w:t>ad libitum</w:t>
      </w:r>
      <w:r w:rsidRPr="00547FB5">
        <w:rPr>
          <w:lang w:val="en-GB" w:eastAsia="en-AU" w:bidi="ar-SA"/>
        </w:rPr>
        <w:t>, poly</w:t>
      </w:r>
      <w:r w:rsidR="0084154A">
        <w:rPr>
          <w:lang w:val="en-GB" w:eastAsia="en-AU" w:bidi="ar-SA"/>
        </w:rPr>
        <w:t>un</w:t>
      </w:r>
      <w:r w:rsidRPr="00547FB5">
        <w:rPr>
          <w:lang w:val="en-GB" w:eastAsia="en-AU" w:bidi="ar-SA"/>
        </w:rPr>
        <w:t>saturated fat-rich or saturated fat-rich diets. The authors concluded that alterations in maternal dietary plant sterol dietary exposure lead to parallel changes in maternal blood and breast milk as well as in the breast-feeding infant’s blood concentration of plant sterols. These changes, however, did not affect the cholesterol concentration in the infant’s blood (</w:t>
      </w:r>
      <w:r w:rsidRPr="00547FB5">
        <w:rPr>
          <w:noProof/>
          <w:lang w:val="en-GB" w:eastAsia="en-AU" w:bidi="ar-SA"/>
        </w:rPr>
        <w:t xml:space="preserve">Mellies et al. </w:t>
      </w:r>
      <w:r w:rsidRPr="00547FB5">
        <w:rPr>
          <w:lang w:val="en-GB" w:eastAsia="en-AU" w:bidi="ar-SA"/>
        </w:rPr>
        <w:fldChar w:fldCharType="begin" w:fldLock="1"/>
      </w:r>
      <w:r w:rsidRPr="00547FB5">
        <w:rPr>
          <w:lang w:val="en-GB" w:eastAsia="en-AU" w:bidi="ar-SA"/>
        </w:rPr>
        <w:instrText>ADDIN CSL_CITATION { "citationItems" : [ { "id" : "ITEM-1", "itemData" : { "ISSN" : "0002-9165", "PMID" : "677073", "abstract" : "Relationships between maternal cholesterol and phytosterol intake, and concentrations of cholesterol and phytosterol in maternal plasma, breast milk, and infant plasma were evaluated in 14 lactating mothers and their infants. The mothers took an ad libitum diet for 30 days after delivery and then were randomized to one oftwo diets: one containing 190 mg cholesterol and 1200 mg phytosterol per day, and a polyunsaturated/saturated fat ratio of 1.8; the second, a high cholesterol diet calculated to contain 520 mg cholesterol and 50 mg phytosterol/day, with a polyunsaturated/saturated fat ratio of 0. 12. After 4 weeks on either diet, the mothers then crossed over to the other for a second 4 week period. Breast milk constituted the infants\u2019 sole intake during the two periods. During the ad libitum, low cholesterol-phytosterol enriched, and high cholesterollow phytosterol diet periods, mean \u00b1 SE breast milk cholesterol (milligrams per grams total milk fat) was unchanged (2.4 \u00b1 0.4, 2.4 \u00b1 0.1, and 2.5 \u00b1 0.2, respectively), despite a significant reduction of maternal plasma cholesterol from 220 \u00b1 14 mg/dl (ad libitum) to 166 \u00b1 7 (low cholesterol diet), and 186 \u00b1 6 (high cholesterol diet). Infant plasma cholesterol, 143 \u00b1 8 mg/dl on maternal ad libitum diet, was not significantly changed during maternal low cholesterol diet (140 \u00b1 7), or during maternal high cholesterol diet (150 \u00b1 8). Maternal milk phytosterol (0.17 \u00b1 0.03 mg/g) on ad libitum diet, rose to 2.2 \u00b1 0.3 on low cholesterol-phytosterol enriched diet, and fell to 0.7 \u00b1 0.1 on the high cholesterol-low phytosterol diet, P &lt; 0.0001. Maternal plasma phytosterol levels changed similarly, being 2.3 \u00b1 0.9 mg/dl on ad libitum, 11.7 \u00b1 0.9 on low cholesterol, and 4.9 \u00b1 1.3 on high cholesterol intakes, P &lt; 0.0001. Infant plasma phytosterol levels, 0.37 \u00b1 0.04 mg/dl on both maternal ad libitum and high cholesterol intakes, rose to 0.54 \u00b1 0.05 on maternal low cholesterol, phytosterol enriched diet (P &lt; 0.01). Maternal dietary and plasma phytosterol levels were closely correlated (r = 0.62, P = 0.0001), as were plasma and milk phytosterol levels (r = 0.39, P = 0.02). Milk phytosterol and infant plasma phytosterol levels were also closely related (r = 0.43, P = 0.008). Conversely for cholesterol, the only significant maternal correlation was between dietary and plasma levels, r = 0.43, P = 0.004. No significant correlations were observed between maternal plasma and milk cholesterol levels, or between maternal milk a\u2026", "author" : [ { "dropping-particle" : "", "family" : "Mellies", "given" : "M J", "non-dropping-particle" : "", "parse-names" : false, "suffix" : "" }, { "dropping-particle" : "", "family" : "Ishikawa", "given" : "T T", "non-dropping-particle" : "", "parse-names" : false, "suffix" : "" }, { "dropping-particle" : "", "family" : "Gartside", "given" : "P", "non-dropping-particle" : "", "parse-names" : false, "suffix" : "" }, { "dropping-particle" : "", "family" : "Burton", "given" : "K", "non-dropping-particle" : "", "parse-names" : false, "suffix" : "" }, { "dropping-particle" : "", "family" : "MacGee", "given" : "J", "non-dropping-particle" : "", "parse-names" : false, "suffix" : "" }, { "dropping-particle" : "", "family" : "Allen", "given" : "K", "non-dropping-particle" : "", "parse-names" : false, "suffix" : "" }, { "dropping-particle" : "", "family" : "Steiner", "given" : "P M", "non-dropping-particle" : "", "parse-names" : false, "suffix" : "" }, { "dropping-particle" : "", "family" : "Brady", "given" : "D", "non-dropping-particle" : "", "parse-names" : false, "suffix" : "" }, { "dropping-particle" : "", "family" : "Glueck", "given" : "C J", "non-dropping-particle" : "", "parse-names" : false, "suffix" : "" } ], "container-title" : "American Journal of Clinical Nutrition", "id" : "ITEM-1", "issue" : "8", "issued" : { "date-parts" : [ [ "1978", "8" ] ] }, "page" : "1347-54", "title" : "Effects of varying maternal dietary cholesterol and phytosterol in lactating women and their infants.", "type" : "article-journal", "volume" : "31" }, "suppress-author" : 1, "uris" : [ "http://www.mendeley.com/documents/?uuid=6604defc-d129-44a4-b865-003d6ec0f3aa" ] } ], "mendeley" : { "formattedCitation" : "(1978)", "plainTextFormattedCitation" : "(1978)", "previouslyFormattedCitation" : "(1978)"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(1978)</w:t>
      </w:r>
      <w:r w:rsidRPr="00547FB5">
        <w:rPr>
          <w:lang w:val="en-GB" w:eastAsia="en-AU" w:bidi="ar-SA"/>
        </w:rPr>
        <w:fldChar w:fldCharType="end"/>
      </w:r>
      <w:r w:rsidRPr="00547FB5">
        <w:rPr>
          <w:lang w:val="en-GB" w:eastAsia="en-AU" w:bidi="ar-SA"/>
        </w:rPr>
        <w:t>.</w:t>
      </w:r>
    </w:p>
    <w:p w14:paraId="4A6D5B4E" w14:textId="5806B18D" w:rsidR="0051780C" w:rsidRPr="00547FB5" w:rsidRDefault="0051780C" w:rsidP="0051780C">
      <w:pPr>
        <w:rPr>
          <w:lang w:val="en-GB"/>
        </w:rPr>
      </w:pPr>
    </w:p>
    <w:p w14:paraId="78E9CB29" w14:textId="77777777" w:rsidR="00724D8F" w:rsidRDefault="00724D8F" w:rsidP="00F2126A">
      <w:pPr>
        <w:rPr>
          <w:lang w:val="en-GB"/>
        </w:rPr>
      </w:pPr>
      <w:r>
        <w:rPr>
          <w:lang w:val="en-GB"/>
        </w:rPr>
        <w:br w:type="page"/>
      </w:r>
    </w:p>
    <w:p w14:paraId="4ACB6CAA" w14:textId="77777777" w:rsidR="00724D8F" w:rsidRDefault="0051780C" w:rsidP="00F2126A">
      <w:pPr>
        <w:rPr>
          <w:lang w:val="en-GB"/>
        </w:rPr>
      </w:pPr>
      <w:r w:rsidRPr="00547FB5">
        <w:rPr>
          <w:lang w:val="en-GB"/>
        </w:rPr>
        <w:lastRenderedPageBreak/>
        <w:t xml:space="preserve">For the parallel study </w:t>
      </w:r>
      <w:r w:rsidRPr="00547FB5">
        <w:rPr>
          <w:lang w:val="en-GB"/>
        </w:rPr>
        <w:fldChar w:fldCharType="begin" w:fldLock="1"/>
      </w:r>
      <w:r w:rsidRPr="00547FB5">
        <w:rPr>
          <w:lang w:val="en-GB"/>
        </w:rPr>
        <w:instrText>ADDIN CSL_CITATION { "citationItems" : [ { "id" : "ITEM-1", "itemData" : { "DOI" : "10.1017/S0007114508133608", "ISSN" : "0007-1145", "author" : [ { "dropping-particle" : "", "family" : "Laitinen", "given" : "K.", "non-dropping-particle" : "", "parse-names" : false, "suffix" : "" }, { "dropping-particle" : "", "family" : "Isolauri", "given" : "E.", "non-dropping-particle" : "", "parse-names" : false, "suffix" : "" }, { "dropping-particle" : "", "family" : "Kaipiainen", "given" : "L.", "non-dropping-particle" : "", "parse-names" : false, "suffix" : "" }, { "dropping-particle" : "", "family" : "Gylling", "given" : "H.", "non-dropping-particle" : "", "parse-names" : false, "suffix" : "" }, { "dropping-particle" : "", "family" : "Miettinen", "given" : "T.A.", "non-dropping-particle" : "", "parse-names" : false, "suffix" : "" } ], "container-title" : "British Journal of Nutrition", "id" : "ITEM-1", "issue" : "12", "issued" : { "date-parts" : [ [ "2009", "6", "19" ] ] }, "page" : "1797", "title" : "Plant stanol ester spreads as components of a balanced diet for pregnant and breast-feeding women: evaluation of clinical safety", "type" : "article-journal", "volume" : "101" }, "uris" : [ "http://www.mendeley.com/documents/?uuid=d048c73f-3e23-4195-bf47-f0ad887a6a90" ] } ], "mendeley" : { "formattedCitation" : "(Laitinen et al. 2009)", "plainTextFormattedCitation" : "(Laitinen et al. 2009)", "previouslyFormattedCitation" : "(Laitinen et al. 2009)" }, "properties" : { "noteIndex" : 0 }, "schema" : "https://github.com/citation-style-language/schema/raw/master/csl-citation.json" }</w:instrText>
      </w:r>
      <w:r w:rsidRPr="00547FB5">
        <w:rPr>
          <w:lang w:val="en-GB"/>
        </w:rPr>
        <w:fldChar w:fldCharType="separate"/>
      </w:r>
      <w:r w:rsidRPr="00547FB5">
        <w:rPr>
          <w:noProof/>
          <w:lang w:val="en-GB"/>
        </w:rPr>
        <w:t>(Laitinen et al. 2009)</w:t>
      </w:r>
      <w:r w:rsidRPr="00547FB5">
        <w:rPr>
          <w:lang w:val="en-GB"/>
        </w:rPr>
        <w:fldChar w:fldCharType="end"/>
      </w:r>
      <w:r w:rsidRPr="00547FB5">
        <w:rPr>
          <w:lang w:val="en-GB"/>
        </w:rPr>
        <w:t xml:space="preserve"> the intervention was daily consumption of spreads containing phytostanol esters (mean exposure of 1.1 </w:t>
      </w:r>
      <w:r w:rsidRPr="00547FB5">
        <w:rPr>
          <w:rFonts w:cs="Arial"/>
          <w:lang w:val="en-GB"/>
        </w:rPr>
        <w:t>±</w:t>
      </w:r>
      <w:r w:rsidRPr="00547FB5">
        <w:rPr>
          <w:lang w:val="en-GB"/>
        </w:rPr>
        <w:t xml:space="preserve"> 0.4 g</w:t>
      </w:r>
      <w:r w:rsidR="00F2126A">
        <w:rPr>
          <w:lang w:val="en-GB"/>
        </w:rPr>
        <w:t xml:space="preserve"> </w:t>
      </w:r>
      <w:r w:rsidR="00A44A34">
        <w:rPr>
          <w:lang w:val="en-GB"/>
        </w:rPr>
        <w:t>total plant sterol</w:t>
      </w:r>
      <w:r w:rsidR="00F2126A">
        <w:rPr>
          <w:lang w:val="en-GB"/>
        </w:rPr>
        <w:t xml:space="preserve"> equivalents</w:t>
      </w:r>
      <w:r w:rsidRPr="00547FB5">
        <w:rPr>
          <w:lang w:val="en-GB"/>
        </w:rPr>
        <w:t xml:space="preserve">) during pregnancy and for one month (mean exposure of 1.4 </w:t>
      </w:r>
      <w:r w:rsidRPr="00547FB5">
        <w:rPr>
          <w:rFonts w:cs="Arial"/>
          <w:lang w:val="en-GB"/>
        </w:rPr>
        <w:t>±</w:t>
      </w:r>
      <w:r w:rsidRPr="00547FB5">
        <w:rPr>
          <w:lang w:val="en-GB"/>
        </w:rPr>
        <w:t xml:space="preserve"> 0.9 g</w:t>
      </w:r>
      <w:r w:rsidR="00F2126A">
        <w:rPr>
          <w:lang w:val="en-GB"/>
        </w:rPr>
        <w:t xml:space="preserve"> </w:t>
      </w:r>
      <w:r w:rsidR="00A44A34">
        <w:rPr>
          <w:lang w:val="en-GB"/>
        </w:rPr>
        <w:t>total plant sterol</w:t>
      </w:r>
      <w:r w:rsidR="00F2126A">
        <w:rPr>
          <w:lang w:val="en-GB"/>
        </w:rPr>
        <w:t xml:space="preserve"> equivalents</w:t>
      </w:r>
      <w:r w:rsidRPr="00547FB5">
        <w:rPr>
          <w:lang w:val="en-GB"/>
        </w:rPr>
        <w:t>) post-partum. The mothers were less than seventeen weeks into their pregnancy at the start of the trial, were healthy, and, for those in the intervention arm of the trial but not the control arm, were counselled to follow a balanced diet that is appropriate for pregnant women. The subjects were followed through each trimester and then with their infants at 1, 6, and 12 months. The serum concentrations of total, LDL, and HDL cholesterol and triacylglycerides for the women did not differ between the two arms of the trial at any time point during the course of the study. At one month post-partum, the concentrations of total cholesterol in breast milk did not statistically differ between the two groups, although the concentration of desmosterol – a sterol precursor in the cholesterol biosynthetic pathway – was 23% lower (p = 0.038) in the breast milk of mothers in the intervention group. However, there was no difference between the concentrations of cholestenol – another sterol in the cholesterol biosynthetic pathway that is synthetically independent of desmosterol – in the breast milk of the mothers in the two groups. Furthermore, the breast milk concentrations of squalene and lathosterol, both of which are common precursors to cholestenol and desmosterol, did not statistically differ between the two groups</w:t>
      </w:r>
      <w:r>
        <w:rPr>
          <w:lang w:val="en-GB"/>
        </w:rPr>
        <w:t xml:space="preserve">. </w:t>
      </w:r>
      <w:r w:rsidRPr="00547FB5">
        <w:rPr>
          <w:lang w:val="en-GB"/>
        </w:rPr>
        <w:t xml:space="preserve">Therefore, the difference is likely to have arisen by chance. It is also worth noting that the concentrations of the plant sterols that were measured in the breast milk of the women did not statistically differ between the two groups. </w:t>
      </w:r>
      <w:bookmarkStart w:id="258" w:name="_Toc463507653"/>
      <w:bookmarkStart w:id="259" w:name="_Toc463881794"/>
      <w:bookmarkStart w:id="260" w:name="_Toc464569649"/>
      <w:bookmarkStart w:id="261" w:name="_Toc466903392"/>
      <w:bookmarkStart w:id="262" w:name="_Toc466909057"/>
    </w:p>
    <w:p w14:paraId="25657741" w14:textId="77777777" w:rsidR="00724D8F" w:rsidRDefault="00724D8F" w:rsidP="00F2126A">
      <w:pPr>
        <w:rPr>
          <w:lang w:val="en-GB"/>
        </w:rPr>
      </w:pPr>
    </w:p>
    <w:p w14:paraId="7C59F0AF" w14:textId="79149357" w:rsidR="0051780C" w:rsidRPr="00547FB5" w:rsidRDefault="0051780C" w:rsidP="00F2126A">
      <w:pPr>
        <w:rPr>
          <w:lang w:val="en-GB"/>
        </w:rPr>
      </w:pPr>
      <w:r w:rsidRPr="00547FB5">
        <w:rPr>
          <w:lang w:val="en-GB"/>
        </w:rPr>
        <w:t xml:space="preserve">All infants were born full-term without complications and were exclusively breastfed for an average of 11 </w:t>
      </w:r>
      <w:r w:rsidRPr="00547FB5">
        <w:rPr>
          <w:rFonts w:cs="Arial"/>
          <w:lang w:val="en-GB"/>
        </w:rPr>
        <w:t>±</w:t>
      </w:r>
      <w:r w:rsidRPr="00547FB5">
        <w:rPr>
          <w:lang w:val="en-GB"/>
        </w:rPr>
        <w:t xml:space="preserve"> 8 (SD) weeks in the intervention arm and for an average of 16 </w:t>
      </w:r>
      <w:r w:rsidRPr="00547FB5">
        <w:rPr>
          <w:rFonts w:cs="Arial"/>
          <w:lang w:val="en-GB"/>
        </w:rPr>
        <w:t>±</w:t>
      </w:r>
      <w:r w:rsidRPr="00547FB5">
        <w:rPr>
          <w:lang w:val="en-GB"/>
        </w:rPr>
        <w:t xml:space="preserve"> 2 weeks in the control arm of the trial. There were no differences in the gestational weight gain, height, or cognitive development between the infants born to mothers in the intervention group and those born to mothers in the control group</w:t>
      </w:r>
      <w:r>
        <w:rPr>
          <w:lang w:val="en-GB"/>
        </w:rPr>
        <w:t xml:space="preserve">. </w:t>
      </w:r>
      <w:r w:rsidRPr="00547FB5">
        <w:rPr>
          <w:lang w:val="en-GB"/>
        </w:rPr>
        <w:t xml:space="preserve">The mean serum </w:t>
      </w:r>
      <w:r w:rsidRPr="00547FB5">
        <w:rPr>
          <w:rFonts w:cs="Arial"/>
          <w:lang w:val="en-GB"/>
        </w:rPr>
        <w:t>β</w:t>
      </w:r>
      <w:r w:rsidRPr="00547FB5">
        <w:rPr>
          <w:lang w:val="en-GB"/>
        </w:rPr>
        <w:t xml:space="preserve">-carotene concentrations between the two infant groups were not statistically different at </w:t>
      </w:r>
      <w:r w:rsidR="00A57CD8">
        <w:rPr>
          <w:lang w:val="en-GB"/>
        </w:rPr>
        <w:t>one</w:t>
      </w:r>
      <w:r w:rsidRPr="00547FB5">
        <w:rPr>
          <w:lang w:val="en-GB"/>
        </w:rPr>
        <w:t xml:space="preserve"> month and </w:t>
      </w:r>
      <w:r w:rsidR="00A57CD8">
        <w:rPr>
          <w:lang w:val="en-GB"/>
        </w:rPr>
        <w:t xml:space="preserve">six </w:t>
      </w:r>
      <w:r w:rsidRPr="00547FB5">
        <w:rPr>
          <w:lang w:val="en-GB"/>
        </w:rPr>
        <w:t xml:space="preserve">months of age; although when the concentrations were adjusted for total cholesterol, the mean serum </w:t>
      </w:r>
      <w:r w:rsidRPr="00547FB5">
        <w:rPr>
          <w:rFonts w:cs="Arial"/>
          <w:lang w:val="en-GB"/>
        </w:rPr>
        <w:t>β</w:t>
      </w:r>
      <w:r w:rsidRPr="00547FB5">
        <w:rPr>
          <w:lang w:val="en-GB"/>
        </w:rPr>
        <w:t xml:space="preserve">-carotene concentration was lower in the infants born to mothers in the intervention group at </w:t>
      </w:r>
      <w:r w:rsidR="00A57CD8">
        <w:rPr>
          <w:lang w:val="en-GB"/>
        </w:rPr>
        <w:t>one</w:t>
      </w:r>
      <w:r w:rsidRPr="00547FB5">
        <w:rPr>
          <w:lang w:val="en-GB"/>
        </w:rPr>
        <w:t xml:space="preserve"> month of age compared with the corresponding mean serum </w:t>
      </w:r>
      <w:r w:rsidRPr="00547FB5">
        <w:rPr>
          <w:rFonts w:cs="Arial"/>
          <w:lang w:val="en-GB"/>
        </w:rPr>
        <w:t>β</w:t>
      </w:r>
      <w:r w:rsidRPr="00547FB5">
        <w:rPr>
          <w:lang w:val="en-GB"/>
        </w:rPr>
        <w:t>-carotene concentration for the infants born to the mothers in the control group</w:t>
      </w:r>
      <w:r>
        <w:rPr>
          <w:lang w:val="en-GB"/>
        </w:rPr>
        <w:t xml:space="preserve">. </w:t>
      </w:r>
      <w:r w:rsidRPr="00547FB5">
        <w:rPr>
          <w:lang w:val="en-GB"/>
        </w:rPr>
        <w:t xml:space="preserve">The difference in the adjusted </w:t>
      </w:r>
      <w:r w:rsidRPr="00547FB5">
        <w:rPr>
          <w:rFonts w:cs="Arial"/>
          <w:lang w:val="en-GB"/>
        </w:rPr>
        <w:t>β</w:t>
      </w:r>
      <w:r w:rsidRPr="00547FB5">
        <w:rPr>
          <w:lang w:val="en-GB"/>
        </w:rPr>
        <w:t xml:space="preserve">-carotene concentrations at six months was not statistically significant. </w:t>
      </w:r>
      <w:r w:rsidRPr="00547FB5">
        <w:rPr>
          <w:rFonts w:cs="Arial"/>
          <w:lang w:val="en-GB"/>
        </w:rPr>
        <w:t>β</w:t>
      </w:r>
      <w:r w:rsidRPr="00547FB5">
        <w:rPr>
          <w:lang w:val="en-GB"/>
        </w:rPr>
        <w:t xml:space="preserve">-Carotene is transported in blood by LDL cholesterol. The apparent difference after adjusting for total cholesterol is likely to have arisen because of a difference in a lipoprotein cholesterol fraction such as HDL cholesterol between the two infant groups rather than an actual difference in serum </w:t>
      </w:r>
      <w:r w:rsidRPr="00547FB5">
        <w:rPr>
          <w:rFonts w:cs="Arial"/>
          <w:lang w:val="en-GB"/>
        </w:rPr>
        <w:t>β</w:t>
      </w:r>
      <w:r w:rsidRPr="00547FB5">
        <w:rPr>
          <w:lang w:val="en-GB"/>
        </w:rPr>
        <w:t xml:space="preserve">-carotene concentrations. Indeed, the mean serum HDL cholesterol concentration at one month post-partum for the infants born to the mothers in the intervention group was 17% higher than that of the infants born to the mothers in the control group. At six months post-partum both infant groups had the same serum HDL cholesterol concentration. It is also worth noting that any difference in serum </w:t>
      </w:r>
      <w:r w:rsidRPr="00547FB5">
        <w:rPr>
          <w:rFonts w:cs="Arial"/>
          <w:lang w:val="en-GB"/>
        </w:rPr>
        <w:t>β</w:t>
      </w:r>
      <w:r w:rsidRPr="00547FB5">
        <w:rPr>
          <w:lang w:val="en-GB"/>
        </w:rPr>
        <w:t xml:space="preserve">-carotene concentration between the infant groups at one month post-partum is unlikely to be nutritionally relevant because breast milk is the most important source of vitamin A for neonates </w:t>
      </w:r>
      <w:r w:rsidRPr="00547FB5">
        <w:rPr>
          <w:lang w:val="en-GB"/>
        </w:rPr>
        <w:fldChar w:fldCharType="begin" w:fldLock="1"/>
      </w:r>
      <w:r w:rsidRPr="00547FB5">
        <w:rPr>
          <w:lang w:val="en-GB"/>
        </w:rPr>
        <w:instrText>ADDIN CSL_CITATION { "citationItems" : [ { "id" : "ITEM-1", "itemData" : { "ISBN" : "0042-9686 (Print)\\n0042-9686 (Linking)", "ISSN" : "00429686", "PMID" : "8846497", "abstract" : "This article reviews the evidence for using breast-milk vitamin A as an indicator of vitamin A status and provides technical information for researchers who want to use this indicator to assess the vitamin A status of women and breast-fed children. Breast-milk vitamin A is a unique indicator for assessing the vitamin A status of lactating women and their breast-fed infants, and has recently been recommended by WHO for use in monitoring global elimination of vitamin A deficiency. Assessing breast-milk vitamin A is less invasive than alternative approaches for assessing a mother's vitamin A status and not at all invasive for her infant. Collection of milk samples in the field is generally feasible and acceptable. Breast-milk vitamin A appears to be an especially good indicator for measuring the impact of vitamin A interventions on women and infants, and for this purpose, it is more responsive than other indicators.", "author" : [ { "dropping-particle" : "", "family" : "Stoltzfus", "given" : "R. J.", "non-dropping-particle" : "", "parse-names" : false, "suffix" : "" }, { "dropping-particle" : "", "family" : "Underwood", "given" : "B. A.", "non-dropping-particle" : "", "parse-names" : false, "suffix" : "" } ], "container-title" : "Bulletin of the World Health Organization", "id" : "ITEM-1", "issue" : "5", "issued" : { "date-parts" : [ [ "1995" ] ] }, "page" : "703-711", "title" : "Breast-milk vitamin A as an indicator of the vitamin A status of women and infants", "type" : "article", "volume" : "73" }, "uris" : [ "http://www.mendeley.com/documents/?uuid=1cd55fe3-544e-4783-a3c9-0b825685c36a" ] } ], "mendeley" : { "formattedCitation" : "(Stoltzfus and Underwood 1995)", "plainTextFormattedCitation" : "(Stoltzfus and Underwood 1995)", "previouslyFormattedCitation" : "(Stoltzfus and Underwood 1995)" }, "properties" : { "noteIndex" : 0 }, "schema" : "https://github.com/citation-style-language/schema/raw/master/csl-citation.json" }</w:instrText>
      </w:r>
      <w:r w:rsidRPr="00547FB5">
        <w:rPr>
          <w:lang w:val="en-GB"/>
        </w:rPr>
        <w:fldChar w:fldCharType="separate"/>
      </w:r>
      <w:r w:rsidRPr="00547FB5">
        <w:rPr>
          <w:noProof/>
          <w:lang w:val="en-GB"/>
        </w:rPr>
        <w:t>(Stoltzfus and Underwood 1995)</w:t>
      </w:r>
      <w:r w:rsidRPr="00547FB5">
        <w:rPr>
          <w:lang w:val="en-GB"/>
        </w:rPr>
        <w:fldChar w:fldCharType="end"/>
      </w:r>
      <w:r w:rsidRPr="00547FB5">
        <w:rPr>
          <w:lang w:val="en-GB"/>
        </w:rPr>
        <w:t xml:space="preserve">. </w:t>
      </w:r>
    </w:p>
    <w:p w14:paraId="21736954" w14:textId="77777777" w:rsidR="0051780C" w:rsidRPr="00547FB5" w:rsidRDefault="0051780C" w:rsidP="0051780C">
      <w:pPr>
        <w:rPr>
          <w:lang w:val="en-GB" w:eastAsia="en-AU" w:bidi="ar-SA"/>
        </w:rPr>
      </w:pPr>
    </w:p>
    <w:p w14:paraId="639C89D0" w14:textId="3E2029F8" w:rsidR="0051780C" w:rsidRPr="00547FB5" w:rsidRDefault="0051780C" w:rsidP="0051780C">
      <w:pPr>
        <w:rPr>
          <w:lang w:val="en-GB" w:eastAsia="en-AU" w:bidi="ar-SA"/>
        </w:rPr>
      </w:pPr>
      <w:bookmarkStart w:id="263" w:name="_Toc466986173"/>
      <w:bookmarkStart w:id="264" w:name="_Toc466986226"/>
      <w:bookmarkStart w:id="265" w:name="_Toc467052892"/>
      <w:bookmarkStart w:id="266" w:name="_Toc467064044"/>
      <w:bookmarkStart w:id="267" w:name="_Toc467064491"/>
      <w:bookmarkStart w:id="268" w:name="_Toc467077498"/>
      <w:r w:rsidRPr="00547FB5">
        <w:rPr>
          <w:lang w:val="en-GB" w:eastAsia="en-AU" w:bidi="ar-SA"/>
        </w:rPr>
        <w:t>The evidence indicates that consumption of 0.7 g/day of plant sterol equivalents does not pose a nutritional safety risk for pregnant women or infant</w:t>
      </w:r>
      <w:r w:rsidR="00A57CD8">
        <w:rPr>
          <w:lang w:val="en-GB" w:eastAsia="en-AU" w:bidi="ar-SA"/>
        </w:rPr>
        <w:t>s</w:t>
      </w:r>
      <w:r>
        <w:rPr>
          <w:lang w:val="en-GB" w:eastAsia="en-AU" w:bidi="ar-SA"/>
        </w:rPr>
        <w:t xml:space="preserve">. </w:t>
      </w:r>
      <w:r w:rsidRPr="00547FB5">
        <w:rPr>
          <w:lang w:val="en-GB" w:eastAsia="en-AU" w:bidi="ar-SA"/>
        </w:rPr>
        <w:t xml:space="preserve">However, it should be noted that </w:t>
      </w:r>
      <w:r w:rsidRPr="00547FB5">
        <w:rPr>
          <w:lang w:val="en-GB"/>
        </w:rPr>
        <w:t>pregnant and lact</w:t>
      </w:r>
      <w:r w:rsidR="00A57CD8">
        <w:rPr>
          <w:lang w:val="en-GB"/>
        </w:rPr>
        <w:t>ating women and children under five</w:t>
      </w:r>
      <w:r w:rsidRPr="00547FB5">
        <w:rPr>
          <w:lang w:val="en-GB"/>
        </w:rPr>
        <w:t xml:space="preserve"> years of age do not, generally, need to lower their cholesterol levels because growing children and developing embryos have an</w:t>
      </w:r>
      <w:r w:rsidRPr="00547FB5" w:rsidDel="00514218">
        <w:rPr>
          <w:lang w:val="en-GB"/>
        </w:rPr>
        <w:t xml:space="preserve"> </w:t>
      </w:r>
      <w:r w:rsidRPr="00547FB5">
        <w:rPr>
          <w:lang w:val="en-GB"/>
        </w:rPr>
        <w:t xml:space="preserve">increased need for cholesterol for normal development </w:t>
      </w:r>
      <w:r w:rsidRPr="00547FB5">
        <w:rPr>
          <w:lang w:val="en-GB"/>
        </w:rPr>
        <w:fldChar w:fldCharType="begin" w:fldLock="1"/>
      </w:r>
      <w:r w:rsidRPr="00547FB5">
        <w:rPr>
          <w:lang w:val="en-GB"/>
        </w:rPr>
        <w:instrText>ADDIN CSL_CITATION { "citationItems" : [ { "id" : "ITEM-1", "itemData" : { "DOI" : "10.1186/1476-511X-3-5", "ISBN" : "1476-511X", "ISSN" : "1476511X", "PMID" : "15070410", "abstract" : "Plant sterols are naturally occurring molecules that humanity has evolved with. Herein, we have critically evaluated recent literature pertaining to the myriad of factors affecting efficacy and safety of plant sterols in free and esterified forms. We conclude that properly solubilized 4-desmetyl plant sterols, in ester or free form, in reasonable doses (0.8-1.0 g of equivalents per day) and in various vehicles including natural sources, and as part of a healthy diet and lifestyle, are important dietary components for lowering low density lipoprotein (LDL) cholesterol and maintaining good heart health. In addition to their cholesterol lowering properties, plant sterols possess anti-cancer, anti-inflammatory, anti-atherogenicity, and anti-oxidation activities, and should thus be of clinical importance, even for those individuals without elevated LDL cholesterol. The carotenoid lowering effect of plant sterols should be corrected by increasing intake of food that is rich in carotenoids. In pregnant and lactating women and children, further study is needed to verify the dose required to decrease blood cholesterol without affecting fat-soluble vitamins and carotenoid status.", "author" : [ { "dropping-particle" : "", "family" : "Berger", "given" : "Alvin", "non-dropping-particle" : "", "parse-names" : false, "suffix" : "" }, { "dropping-particle" : "", "family" : "Jones", "given" : "Peter JH", "non-dropping-particle" : "", "parse-names" : false, "suffix" : "" }, { "dropping-particle" : "", "family" : "Abumweis", "given" : "Suhad S", "non-dropping-particle" : "", "parse-names" : false, "suffix" : "" } ], "container-title" : "Lipids in Health and Disease", "id" : "ITEM-1", "issue" : "1", "issued" : { "date-parts" : [ [ "2004" ] ] }, "page" : "5", "title" : "Plant sterols: factors affecting their efficacy and safety as functional food ingredients", "type" : "article-journal", "volume" : "3" }, "uris" : [ "http://www.mendeley.com/documents/?uuid=bbd3025e-1b97-4dc8-a2e0-2a5b385dc112" ] }, { "id" : "ITEM-2", "itemData" : { "author" : [ { "dropping-particle" : "", "family" : "FSANZ", "given" : "", "non-dropping-particle" : "", "parse-names" : false, "suffix" : "" } ], "id" : "ITEM-2", "issued" : { "date-parts" : [ [ "2012" ] ] }, "number-of-pages" : "21", "publisher-place" : "Canberra", "title" : "Approval Report \u2013 Application A1070. Packaging Size for Phytosterol-enriched Lower Fat Cheese", "type" : "report" }, "uris" : [ "http://www.mendeley.com/documents/?uuid=b165f998-b978-459b-9c6f-f2b59388c344" ] } ], "mendeley" : { "formattedCitation" : "(Berger et al. 2004; FSANZ 2012a)", "plainTextFormattedCitation" : "(Berger et al. 2004; FSANZ 2012a)", "previouslyFormattedCitation" : "(Berger et al. 2004; FSANZ 2012a)" }, "properties" : { "noteIndex" : 0 }, "schema" : "https://github.com/citation-style-language/schema/raw/master/csl-citation.json" }</w:instrText>
      </w:r>
      <w:r w:rsidRPr="00547FB5">
        <w:rPr>
          <w:lang w:val="en-GB"/>
        </w:rPr>
        <w:fldChar w:fldCharType="separate"/>
      </w:r>
      <w:r w:rsidRPr="00547FB5">
        <w:rPr>
          <w:noProof/>
          <w:lang w:val="en-GB"/>
        </w:rPr>
        <w:t>(Berger et al. 2004; FSANZ 2012a)</w:t>
      </w:r>
      <w:r w:rsidRPr="00547FB5">
        <w:rPr>
          <w:lang w:val="en-GB"/>
        </w:rPr>
        <w:fldChar w:fldCharType="end"/>
      </w:r>
      <w:r w:rsidRPr="00547FB5">
        <w:rPr>
          <w:lang w:val="en-GB"/>
        </w:rPr>
        <w:t xml:space="preserve">. </w:t>
      </w:r>
    </w:p>
    <w:p w14:paraId="09D082FA" w14:textId="77777777" w:rsidR="00724D8F" w:rsidRDefault="00724D8F" w:rsidP="00B14D36">
      <w:pPr>
        <w:pStyle w:val="Heading2"/>
      </w:pPr>
      <w:bookmarkStart w:id="269" w:name="_Toc477274224"/>
      <w:r>
        <w:br w:type="page"/>
      </w:r>
    </w:p>
    <w:p w14:paraId="075FE9A7" w14:textId="57DE64DE" w:rsidR="0051780C" w:rsidRPr="00F935CA" w:rsidRDefault="0051780C" w:rsidP="00B14D36">
      <w:pPr>
        <w:pStyle w:val="Heading2"/>
      </w:pPr>
      <w:r w:rsidRPr="00F935CA">
        <w:lastRenderedPageBreak/>
        <w:t>4.2</w:t>
      </w:r>
      <w:r w:rsidRPr="00F935CA">
        <w:tab/>
        <w:t>Effect of plant sterols on fat-soluble vitamins</w:t>
      </w:r>
      <w:bookmarkEnd w:id="258"/>
      <w:bookmarkEnd w:id="259"/>
      <w:bookmarkEnd w:id="260"/>
      <w:r w:rsidRPr="00F935CA">
        <w:t xml:space="preserve"> and carotenoids</w:t>
      </w:r>
      <w:bookmarkEnd w:id="261"/>
      <w:bookmarkEnd w:id="262"/>
      <w:bookmarkEnd w:id="263"/>
      <w:bookmarkEnd w:id="264"/>
      <w:bookmarkEnd w:id="265"/>
      <w:bookmarkEnd w:id="266"/>
      <w:bookmarkEnd w:id="267"/>
      <w:bookmarkEnd w:id="268"/>
      <w:bookmarkEnd w:id="269"/>
    </w:p>
    <w:p w14:paraId="7F03FF26" w14:textId="50630829" w:rsidR="0051780C" w:rsidRPr="00547FB5" w:rsidRDefault="0051780C" w:rsidP="00554E2F">
      <w:pPr>
        <w:rPr>
          <w:rFonts w:cs="Arial"/>
          <w:bCs/>
          <w:szCs w:val="22"/>
          <w:lang w:val="en-GB"/>
        </w:rPr>
      </w:pPr>
      <w:r w:rsidRPr="00547FB5">
        <w:rPr>
          <w:lang w:val="en-GB" w:eastAsia="en-AU" w:bidi="ar-SA"/>
        </w:rPr>
        <w:t xml:space="preserve">The reduction in plasma concentrations in some vitamins associated with consumption of foods that were fortified with plant sterols has been previously evaluated by FSANZ </w:t>
      </w:r>
      <w:r w:rsidRPr="00547FB5">
        <w:rPr>
          <w:b/>
          <w:lang w:val="en-GB"/>
        </w:rPr>
        <w:fldChar w:fldCharType="begin" w:fldLock="1"/>
      </w:r>
      <w:r w:rsidRPr="00547FB5">
        <w:rPr>
          <w:lang w:val="en-GB"/>
        </w:rPr>
        <w:instrText>ADDIN CSL_CITATION { "citationItems" : [ { "id" : "ITEM-1", "itemData" : { "author" : [ { "dropping-particle" : "", "family" : "FSANZ", "given" : "", "non-dropping-particle" : "", "parse-names" : false, "suffix" : "" } ], "id" : "ITEM-1", "issued" : { "date-parts" : [ [ "2005" ] ] }, "publisher" : "FSANZ, Canberra", "publisher-place" : "Canberra", "title" : "First Review Report: Application A433 - Phytosterol esters derived from vegetable oils in breakfast cereals; Application A434 - Phytosterol esters derived from vegetable oils in low-fat milk &amp; yoghurt; Application A508 - Phytosterols derived from tall oil", "type" : "report" }, "uris" : [ "http://www.mendeley.com/documents/?uuid=b456de10-a440-403d-baf3-47075be80844" ] }, { "id" : "ITEM-2", "itemData" : { "author" : [ { "dropping-particle" : "", "family" : "FSANZ", "given" : "", "non-dropping-particle" : "", "parse-names" : false, "suffix" : "" } ], "id" : "ITEM-2", "issued" : { "date-parts" : [ [ "2006" ] ] }, "publisher" : "FSANZ, Canberra", "publisher-place" : "Canberra", "title" : "Second Review Report: Application A433 - Phytosterol esters derived from vegetable oils in breakfast cereals; Application A434 - Phytosterol esters derived from vegetable oils in low-fat milk &amp; yoghurt; Application A508 - Phytosterols derived from tall oi", "type" : "report" }, "uris" : [ "http://www.mendeley.com/documents/?uuid=c81646c3-5438-40f9-a557-4ead5a2f6686" ] }, { "id" : "ITEM-3", "itemData" : { "author" : [ { "dropping-particle" : "", "family" : "FSANZ", "given" : "", "non-dropping-particle" : "", "parse-names" : false, "suffix" : "" } ], "id" : "ITEM-3",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2005; FSANZ 2006; FSANZ 2010b)", "plainTextFormattedCitation" : "(FSANZ 2005; FSANZ 2006; FSANZ 2010b)", "previouslyFormattedCitation" : "(FSANZ 2005; FSANZ 2006; FSANZ 2010b)" }, "properties" : { "noteIndex" : 0 }, "schema" : "https://github.com/citation-style-language/schema/raw/master/csl-citation.json" }</w:instrText>
      </w:r>
      <w:r w:rsidRPr="00547FB5">
        <w:rPr>
          <w:b/>
          <w:lang w:val="en-GB"/>
        </w:rPr>
        <w:fldChar w:fldCharType="separate"/>
      </w:r>
      <w:r w:rsidRPr="00547FB5">
        <w:rPr>
          <w:noProof/>
          <w:lang w:val="en-GB"/>
        </w:rPr>
        <w:t>(FSANZ 2005; FSANZ 2006; FSANZ 2010b)</w:t>
      </w:r>
      <w:r w:rsidRPr="00547FB5">
        <w:rPr>
          <w:b/>
          <w:lang w:val="en-GB"/>
        </w:rPr>
        <w:fldChar w:fldCharType="end"/>
      </w:r>
      <w:r w:rsidRPr="00547FB5">
        <w:rPr>
          <w:lang w:val="en-GB" w:eastAsia="en-AU" w:bidi="ar-SA"/>
        </w:rPr>
        <w:t xml:space="preserve">. </w:t>
      </w:r>
      <w:r w:rsidRPr="00547FB5">
        <w:rPr>
          <w:lang w:val="en-GB"/>
        </w:rPr>
        <w:t xml:space="preserve">The conclusion reached from those evaluations is that the reductions in vitamins D, K and E levels are not significant after adjusting for decreases in LDL cholesterol, which plays a role in transporting these and other fat soluble vitamins in blood </w:t>
      </w:r>
      <w:r w:rsidRPr="00547FB5">
        <w:rPr>
          <w:lang w:val="en-GB"/>
        </w:rPr>
        <w:fldChar w:fldCharType="begin" w:fldLock="1"/>
      </w:r>
      <w:r w:rsidRPr="00547FB5">
        <w:rPr>
          <w:lang w:val="en-GB"/>
        </w:rPr>
        <w:instrText>ADDIN CSL_CITATION { "citationItems" : [ { "id" : "ITEM-1", "itemData" : { "DOI" : "10.1111/tra.12231", "ISSN" : "13989219", "author" : [ { "dropping-particle" : "", "family" : "Kono", "given" : "Nozomu", "non-dropping-particle" : "", "parse-names" : false, "suffix" : "" }, { "dropping-particle" : "", "family" : "Arai", "given" : "Hiroyuki", "non-dropping-particle" : "", "parse-names" : false, "suffix" : "" } ], "container-title" : "Traffic", "id" : "ITEM-1", "issue" : "1", "issued" : { "date-parts" : [ [ "2015", "1" ] ] }, "page" : "19-34", "title" : "Intracellular Transport of Fat-Soluble Vitamins A and E", "type" : "article-journal", "volume" : "16" }, "uris" : [ "http://www.mendeley.com/documents/?uuid=6386a71a-5011-4c26-90ea-9ae785490351" ] }, { "id" : "ITEM-2", "itemData" : { "DOI" : "10.1016/j.jnutbio.2004.02.006", "ISBN" : "0955-2863", "ISSN" : "09552863", "PMID" : "15135148", "abstract" : "alpha-Tocopherol is an essential micronutrient involved in various oxidative stress-related processes. Because of its hydrophobic nature, alpha-tocopherol is transported in plasma lipoproteins, and the pathways involved in its cellular uptake are closely related to the lipoprotein metabolism. alpha-Tocopherol transfer from plasma to cells can occur by different mechanisms such as uptake facilitated by lipid transfer proteins and lipases, receptor-mediated lipoprotein endocytosis, and selective lipid uptake. Here we discuss recent progress in understanding the physiological and pathophysiological relevance of these different pathways for cellular uptake of vitamin E in vivo. This review is mainly focused on the role of the scavenger receptor class B type I (SR-BI) on alpha-tocopherol metabolism and its potential implications for disease conditions.", "author" : [ { "dropping-particle" : "", "family" : "Mardones", "given" : "Pablo", "non-dropping-particle" : "", "parse-names" : false, "suffix" : "" }, { "dropping-particle" : "", "family" : "Rigotti", "given" : "Attilio", "non-dropping-particle" : "", "parse-names" : false, "suffix" : "" } ], "container-title" : "The Journal of Nutritional Biochemistry", "id" : "ITEM-2", "issue" : "5", "issued" : { "date-parts" : [ [ "2004", "5" ] ] }, "page" : "252-260", "title" : "Cellular mechanisms of vitamin E uptake: relevance in \u03b1-tocopherol metabolism and potential implications for disease", "type" : "article-journal", "volume" : "15" }, "uris" : [ "http://www.mendeley.com/documents/?uuid=a3aa7403-f51e-458a-8174-a8971b64b632" ] }, { "id" : "ITEM-3", "itemData" : { "DOI" : "10.1016/S0304-4165(02)00147-2", "ISBN" : "0006-3002; 0006-3002", "ISSN" : "03044165", "PMID" : "11960685", "abstract" : "Vitamin K is a group name for K1 (phylloquinone) and K2 (menaquinones). Both forms contribute to the tissue vitamin K status. Following intestinal absorption, the serum transport of these lipophilic compounds to their target tissues takes place via lipoproteins. In previous studies we have found that K1 is preferentially accumulated in the liver, whereas menaquinones have a more widespread distribution pattern. Here we have tested whether these differences may be explained by the different liposolubility of the various K-vitamers, resulting in their association with different lipoprotein particles. Six healthy male volunteers received a mixture containing 2 ??mol of each of three K vitamers (K1, MK-4, and MK-9) dissolved in corn oil. Blood was obtained at baseline and at different time intervals after intake for the measurement of vitamin K in serum and in the lipoprotein fractions. During the first 4 h after intake all K-vitamins were found to be associated predominantly with the triacylglycerol-rich lipoprotein (TGRLP) fraction. Since the TGRLP fraction is mainly cleared by the liver, this suggests that initially most of the K-vitamins are transported to the liver. In contrast to K1, however, both menaquinones investigated were also found in TGRLP and low-density lipoprotein, whereas MK-4 was even present in high-density lipoprotein. This explains why menaquinones may have a different distribution profile and suggests a relatively large impact of menaquinones on extra-hepatic vitamin K status than generally assumed. Moreover, the very long half-life time of MK-9 in the circulation indicates that it may form a more constant source of vitamin K than are either K1 or MK-4. ?? 2002 Elsevier Science B.V. All rights reserved.", "author" : [ { "dropping-particle" : "", "family" : "Schurgers", "given" : "Leon J.", "non-dropping-particle" : "", "parse-names" : false, "suffix" : "" }, { "dropping-particle" : "", "family" : "Vermeer", "given" : "Cees", "non-dropping-particle" : "", "parse-names" : false, "suffix" : "" } ], "container-title" : "Biochimica et Biophysica Acta (BBA) - General Subjects", "id" : "ITEM-3", "issue" : "1", "issued" : { "date-parts" : [ [ "2002", "2" ] ] }, "page" : "27-32", "title" : "Differential lipoprotein transport pathways of K-vitamins in healthy subjects", "type" : "article-journal", "volume" : "1570" }, "uris" : [ "http://www.mendeley.com/documents/?uuid=ab032f16-7ad2-464e-9d13-204ba11fcce4" ] } ], "mendeley" : { "formattedCitation" : "(Schurgers and Vermeer 2002; Mardones and Rigotti 2004; Kono and Arai 2015)", "plainTextFormattedCitation" : "(Schurgers and Vermeer 2002; Mardones and Rigotti 2004; Kono and Arai 2015)", "previouslyFormattedCitation" : "(Schurgers and Vermeer 2002; Mardones and Rigotti 2004; Kono and Arai 2015)" }, "properties" : { "noteIndex" : 0 }, "schema" : "https://github.com/citation-style-language/schema/raw/master/csl-citation.json" }</w:instrText>
      </w:r>
      <w:r w:rsidRPr="00547FB5">
        <w:rPr>
          <w:lang w:val="en-GB"/>
        </w:rPr>
        <w:fldChar w:fldCharType="separate"/>
      </w:r>
      <w:r w:rsidRPr="00547FB5">
        <w:rPr>
          <w:noProof/>
          <w:lang w:val="en-GB"/>
        </w:rPr>
        <w:t>(Schurgers and Vermeer 2002; Mardones and Rigotti 2004; Kono and Arai 2015)</w:t>
      </w:r>
      <w:r w:rsidRPr="00547FB5">
        <w:rPr>
          <w:lang w:val="en-GB"/>
        </w:rPr>
        <w:fldChar w:fldCharType="end"/>
      </w:r>
      <w:r w:rsidRPr="00547FB5">
        <w:rPr>
          <w:lang w:val="en-GB"/>
        </w:rPr>
        <w:t xml:space="preserve">. FSANZ also noted that a reported decrease of 20-25% </w:t>
      </w:r>
      <w:r w:rsidRPr="00547FB5">
        <w:rPr>
          <w:lang w:val="en-GB"/>
        </w:rPr>
        <w:fldChar w:fldCharType="begin" w:fldLock="1"/>
      </w:r>
      <w:r w:rsidRPr="00547FB5">
        <w:rPr>
          <w:lang w:val="en-GB"/>
        </w:rPr>
        <w:instrText>ADDIN CSL_CITATION { "citationItems" : [ { "id" : "ITEM-1", "itemData" : { "DOI" : "10.1080/10408398.2015.1033611", "author" : [ { "dropping-particle" : "", "family" : "Fardet", "given" : "A.", "non-dropping-particle" : "", "parse-names" : false, "suffix" : "" }, { "dropping-particle" : "", "family" : "Morise", "given" : "A.", "non-dropping-particle" : "", "parse-names" : false, "suffix" : "" }, { "dropping-particle" : "", "family" : "Kalonji", "given" : "E.", "non-dropping-particle" : "", "parse-names" : false, "suffix" : "" }, { "dropping-particle" : "", "family" : "Margaritis", "given" : "I.", "non-dropping-particle" : "", "parse-names" : false, "suffix" : "" }, { "dropping-particle" : "", "family" : "Mariotti", "given" : "F.", "non-dropping-particle" : "", "parse-names" : false, "suffix" : "" } ], "container-title" : "Critical Reviews in Food Science and Nutrition", "id" : "ITEM-1", "issued" : { "date-parts" : [ [ "2016" ] ] }, "page" : "10.1080/10408398.2015.1033611", "title" : "Influence of Phytosterol and Phytostanol Food Supplementation on Plasma Liposoluble Vitamins and Provitamin A Carotenoid Levels in Humans: An Updated Review of the Evidence", "type" : "article-journal" }, "uris" : [ "http://www.mendeley.com/documents/?uuid=8ffc4476-0d0e-4154-98bb-77f681b516d7" ] } ], "mendeley" : { "formattedCitation" : "(Fardet et al. 2016)", "plainTextFormattedCitation" : "(Fardet et al. 2016)", "previouslyFormattedCitation" : "(Fardet et al. 2016)" }, "properties" : { "noteIndex" : 0 }, "schema" : "https://github.com/citation-style-language/schema/raw/master/csl-citation.json" }</w:instrText>
      </w:r>
      <w:r w:rsidRPr="00547FB5">
        <w:rPr>
          <w:lang w:val="en-GB"/>
        </w:rPr>
        <w:fldChar w:fldCharType="separate"/>
      </w:r>
      <w:r w:rsidRPr="00547FB5">
        <w:rPr>
          <w:noProof/>
          <w:lang w:val="en-GB"/>
        </w:rPr>
        <w:t>(Fardet et al. 2016)</w:t>
      </w:r>
      <w:r w:rsidRPr="00547FB5">
        <w:rPr>
          <w:lang w:val="en-GB"/>
        </w:rPr>
        <w:fldChar w:fldCharType="end"/>
      </w:r>
      <w:r w:rsidRPr="00547FB5">
        <w:rPr>
          <w:lang w:val="en-GB"/>
        </w:rPr>
        <w:t xml:space="preserve"> in the serum concentration of carotenoids that is associated with the consumption of plant sterols “</w:t>
      </w:r>
      <w:r w:rsidRPr="00547FB5">
        <w:rPr>
          <w:szCs w:val="22"/>
          <w:lang w:val="en-GB"/>
        </w:rPr>
        <w:t xml:space="preserve">falls within a broad natural range </w:t>
      </w:r>
      <w:r w:rsidRPr="00547FB5">
        <w:rPr>
          <w:lang w:val="en-GB"/>
        </w:rPr>
        <w:t>considered to be typical of variable diets</w:t>
      </w:r>
      <w:r w:rsidRPr="00547FB5">
        <w:rPr>
          <w:szCs w:val="22"/>
          <w:lang w:val="en-GB"/>
        </w:rPr>
        <w:t xml:space="preserve">” (FSANZ 2010b). </w:t>
      </w:r>
      <w:r w:rsidRPr="00547FB5">
        <w:rPr>
          <w:lang w:val="en-GB"/>
        </w:rPr>
        <w:t xml:space="preserve">The importance of carotenoids to human health is related to the group referred to as provitamin A carotenoids because of their metabolic conversion to vitamin A in the intestinal mucosa of humans </w:t>
      </w:r>
      <w:r w:rsidRPr="00547FB5">
        <w:rPr>
          <w:lang w:val="en-GB" w:eastAsia="en-AU" w:bidi="ar-SA"/>
        </w:rPr>
        <w:fldChar w:fldCharType="begin" w:fldLock="1"/>
      </w:r>
      <w:r w:rsidRPr="00547FB5">
        <w:rPr>
          <w:lang w:val="en-GB" w:eastAsia="en-AU" w:bidi="ar-SA"/>
        </w:rPr>
        <w:instrText>ADDIN CSL_CITATION { "citationItems" : [ { "id" : "ITEM-1", "itemData" : { "DOI" : "10.1016/j.bbalip.2011.06.002", "ISSN" : "13881981", "author" : [ { "dropping-particle" : "", "family" : "Harrison", "given" : "Earl H.", "non-dropping-particle" : "", "parse-names" : false, "suffix" : "" } ], "container-title" : "Biochimica et Biophysica Acta (BBA) - Molecular and Cell Biology of Lipids", "id" : "ITEM-1", "issue" : "1", "issued" : { "date-parts" : [ [ "2012", "1" ] ] }, "page" : "70-77", "title" : "Mechanisms involved in the intestinal absorption of dietary vitamin A and provitamin A carotenoids", "type" : "article-journal", "volume" : "1821" }, "uris" : [ "http://www.mendeley.com/documents/?uuid=99e7ff02-c42d-4a1f-8637-bd197e727e24" ] } ], "mendeley" : { "formattedCitation" : "(Harrison 2012)", "plainTextFormattedCitation" : "(Harrison 2012)", "previouslyFormattedCitation" : "(Harrison 2012)"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(Harrison 2012)</w:t>
      </w:r>
      <w:r w:rsidRPr="00547FB5">
        <w:rPr>
          <w:lang w:val="en-GB" w:eastAsia="en-AU" w:bidi="ar-SA"/>
        </w:rPr>
        <w:fldChar w:fldCharType="end"/>
      </w:r>
      <w:r w:rsidRPr="00547FB5">
        <w:rPr>
          <w:lang w:val="en-GB"/>
        </w:rPr>
        <w:t xml:space="preserve">. Of the provitamin A carotenoids, </w:t>
      </w:r>
      <w:r w:rsidRPr="00547FB5">
        <w:rPr>
          <w:rFonts w:cs="Arial"/>
          <w:lang w:val="en-GB"/>
        </w:rPr>
        <w:t>β</w:t>
      </w:r>
      <w:r w:rsidRPr="00547FB5">
        <w:rPr>
          <w:lang w:val="en-GB"/>
        </w:rPr>
        <w:t xml:space="preserve">-carotene is the most important to human nutrition and to a lesser extent </w:t>
      </w:r>
      <w:r w:rsidRPr="00547FB5">
        <w:rPr>
          <w:rFonts w:cs="Arial"/>
          <w:lang w:val="en-GB"/>
        </w:rPr>
        <w:t>α</w:t>
      </w:r>
      <w:r w:rsidRPr="00547FB5">
        <w:rPr>
          <w:lang w:val="en-GB"/>
        </w:rPr>
        <w:t xml:space="preserve">-carotene because the former-mentioned carotenoid is more abundant in fruits and vegetables </w:t>
      </w:r>
      <w:r w:rsidRPr="00547FB5">
        <w:rPr>
          <w:lang w:val="en-GB"/>
        </w:rPr>
        <w:fldChar w:fldCharType="begin" w:fldLock="1"/>
      </w:r>
      <w:r w:rsidRPr="00547FB5">
        <w:rPr>
          <w:lang w:val="en-GB"/>
        </w:rPr>
        <w:instrText>ADDIN CSL_CITATION { "citationItems" : [ { "id" : "ITEM-1", "itemData" : { "DOI" : "10.1016/S0031-9422(02)00710-0", "ISSN" : "00319422", "author" : [ { "dropping-particle" : "", "family" : "Burns", "given" : "Jennifer", "non-dropping-particle" : "", "parse-names" : false, "suffix" : "" }, { "dropping-particle" : "", "family" : "Fraser", "given" : "Paul D", "non-dropping-particle" : "", "parse-names" : false, "suffix" : "" }, { "dropping-particle" : "", "family" : "Bramley", "given" : "Peter M", "non-dropping-particle" : "", "parse-names" : false, "suffix" : "" } ], "container-title" : "Phytochemistry", "id" : "ITEM-1", "issue" : "6", "issued" : { "date-parts" : [ [ "2003", "3" ] ] }, "page" : "939-947", "title" : "Identification and quantification of carotenoids, tocopherols and chlorophylls in commonly consumed fruits and vegetables", "type" : "article-journal", "volume" : "62" }, "uris" : [ "http://www.mendeley.com/documents/?uuid=5de15bfe-3ede-45a5-a015-57818b704972" ] } ], "mendeley" : { "formattedCitation" : "(Burns et al. 2003)", "plainTextFormattedCitation" : "(Burns et al. 2003)", "previouslyFormattedCitation" : "(Burns et al. 2003)" }, "properties" : { "noteIndex" : 0 }, "schema" : "https://github.com/citation-style-language/schema/raw/master/csl-citation.json" }</w:instrText>
      </w:r>
      <w:r w:rsidRPr="00547FB5">
        <w:rPr>
          <w:lang w:val="en-GB"/>
        </w:rPr>
        <w:fldChar w:fldCharType="separate"/>
      </w:r>
      <w:r w:rsidRPr="00547FB5">
        <w:rPr>
          <w:noProof/>
          <w:lang w:val="en-GB"/>
        </w:rPr>
        <w:t>(Burns et al. 2003)</w:t>
      </w:r>
      <w:r w:rsidRPr="00547FB5">
        <w:rPr>
          <w:lang w:val="en-GB"/>
        </w:rPr>
        <w:fldChar w:fldCharType="end"/>
      </w:r>
      <w:r w:rsidRPr="00547FB5">
        <w:rPr>
          <w:lang w:val="en-GB"/>
        </w:rPr>
        <w:t xml:space="preserve"> </w:t>
      </w:r>
      <w:r w:rsidR="0084154A">
        <w:rPr>
          <w:lang w:val="en-GB"/>
        </w:rPr>
        <w:t>and</w:t>
      </w:r>
      <w:r w:rsidRPr="00547FB5">
        <w:rPr>
          <w:lang w:val="en-GB"/>
        </w:rPr>
        <w:t xml:space="preserve"> its bioconversion to vitamin A is higher than that of other provitamin A carotenoids </w:t>
      </w:r>
      <w:r w:rsidRPr="00547FB5">
        <w:rPr>
          <w:lang w:val="en-GB"/>
        </w:rPr>
        <w:fldChar w:fldCharType="begin" w:fldLock="1"/>
      </w:r>
      <w:r w:rsidRPr="00547FB5">
        <w:rPr>
          <w:lang w:val="en-GB"/>
        </w:rPr>
        <w:instrText>ADDIN CSL_CITATION { "citationItems" : [ { "id" : "ITEM-1", "itemData" : { "DOI" : "10.1002/mnfr.201100230", "ISSN" : "16134125", "author" : [ { "dropping-particle" : "", "family" : "Weber", "given" : "Daniela", "non-dropping-particle" : "", "parse-names" : false, "suffix" : "" }, { "dropping-particle" : "", "family" : "Grune", "given" : "Tilman", "non-dropping-particle" : "", "parse-names" : false, "suffix" : "" } ], "container-title" : "Molecular Nutrition &amp; Food Research", "id" : "ITEM-1", "issue" : "2", "issued" : { "date-parts" : [ [ "2012", "2" ] ] }, "page" : "251-258", "title" : "The contribution of \u03b2-carotene to vitamin A supply of humans", "type" : "article-journal", "volume" : "56" }, "uris" : [ "http://www.mendeley.com/documents/?uuid=9e37464b-4973-454a-9f9b-213efda82980" ] }, { "id" : "ITEM-2", "itemData" : { "DOI" : "10.17226/10026", "ISBN" : "978-0-309-07279-3", "PMID" : "25057538", "author" : [ { "dropping-particle" : "", "family" : "Institute of Medicine (U.S.)", "given" : "", "non-dropping-particle" : "", "parse-names" : false, "suffix" : "" } ], "editor" : [ { "dropping-particle" : "", "family" : "Panel on Micronutrients", "given" : "", "non-dropping-particle" : "", "parse-names" : false, "suffix" : "" } ], "id" : "ITEM-2", "issued" : { "date-parts" : [ [ "2001", "6" ] ] }, "language" : "en", "number-of-pages" : "773", "publisher" : "National Academies Press", "publisher-place" : "Washington, D.C.", "title" : "Dietary Reference Intakes for Vitamin A, Vitamin K, Arsenic, Boron, Chromium, Copper, Iodine, Iron, Manganese, Molybdenum, Nickel, Silicon, Vanadium, and Zinc", "type" : "book" }, "uris" : [ "http://www.mendeley.com/documents/?uuid=be5287ff-8728-4135-b83f-61dfa83da585" ] } ], "mendeley" : { "formattedCitation" : "(Institute of Medicine (U.S.) 2001; Weber and Grune 2012)", "plainTextFormattedCitation" : "(Institute of Medicine (U.S.) 2001; Weber and Grune 2012)", "previouslyFormattedCitation" : "(Institute of Medicine (U.S.) 2001; Weber and Grune 2012)" }, "properties" : { "noteIndex" : 0 }, "schema" : "https://github.com/citation-style-language/schema/raw/master/csl-citation.json" }</w:instrText>
      </w:r>
      <w:r w:rsidRPr="00547FB5">
        <w:rPr>
          <w:lang w:val="en-GB"/>
        </w:rPr>
        <w:fldChar w:fldCharType="separate"/>
      </w:r>
      <w:r w:rsidRPr="00547FB5">
        <w:rPr>
          <w:noProof/>
          <w:lang w:val="en-GB"/>
        </w:rPr>
        <w:t>(Institute of Medicine (U.S.) 2001; Weber and Grune 2012)</w:t>
      </w:r>
      <w:r w:rsidRPr="00547FB5">
        <w:rPr>
          <w:lang w:val="en-GB"/>
        </w:rPr>
        <w:fldChar w:fldCharType="end"/>
      </w:r>
      <w:r w:rsidRPr="00547FB5">
        <w:rPr>
          <w:lang w:val="en-GB"/>
        </w:rPr>
        <w:t xml:space="preserve">. A meta-analysis </w:t>
      </w:r>
      <w:r w:rsidRPr="00547FB5">
        <w:rPr>
          <w:lang w:val="en-GB" w:eastAsia="en-AU" w:bidi="ar-SA"/>
        </w:rPr>
        <w:fldChar w:fldCharType="begin" w:fldLock="1"/>
      </w:r>
      <w:r w:rsidRPr="00547FB5">
        <w:rPr>
          <w:lang w:val="en-GB" w:eastAsia="en-AU" w:bidi="ar-SA"/>
        </w:rPr>
        <w:instrText>ADDIN CSL_CITATION { "citationItems" : [ { "id" : "ITEM-1", "itemData" : { "DOI" : "10.4065/78.8.965", "ISSN" : "00256196", "PMID" : "12911045", "abstract" : "Foods with plant stanol or sterol esters lower serum cholesterol levels. We summarize the deliberations of 32 experts on the efficacy and safety of sterols and stanols. A meta-analysis of 41 trials showed that intake of 2 g/d of stanols or sterols reduced low-density lipoprotein (LDL) by 10%; higher intakes added little. Efficacy is similar for sterols and stanols, but the food form may substantially affect LDL reduction. Effects are additive with diet or drug interventions: eating foods low in saturated fat and cholesterol and high in stanols or sterols can reduce LDL by 20%; adding sterols or stanols to statin medication is more effective than doubling the statin dose. A meta-analysis of 10 to 15 trials per vitamin showed that plasma levels of vitamins A and D are not affected by stanols or sterols. Alpha carotene, lycopene, and vitamin E levels remained stable relative to their carrier molecule, LDL. Beta carotene levels declined, but adverse health outcomes were not expected. Sterol-enriched foods increased plasma sterol levels, and workshop participants discussed whether this would increase risk, in view of the marked increase of atherosclerosis in patients with homozygous phytosterolemia. This risk is believed to be largely hypothetical, and any increase due to the small increase in plasma plant sterols may be more than offset by the decrease in plasma LDL. There are insufficient data to suggest that plant stanols or sterols either prevent or promote colon carcinogenesis. Safety of sterols and stanols is being monitored by follow-up of samples from the general population; however, the power of such studies to pick up infrequent increases in common diseases, if any exist, is limited. A trial with clinical outcomes probably would not answer remaining questions about infrequent adverse effects. Trials with surrogate end points such as intima-media thickness might corroborate the expected efficacy in reducing atherosclerosis. However, present evidence is sufficient to promote use of sterols and stanols for lowering LDL cholesterol levels in persons at increased risk for coronary heart disease.", "author" : [ { "dropping-particle" : "", "family" : "Katan", "given" : "Martijn B", "non-dropping-particle" : "", "parse-names" : false, "suffix" : "" }, { "dropping-particle" : "", "family" : "Grundy", "given" : "Scott M", "non-dropping-particle" : "", "parse-names" : false, "suffix" : "" }, { "dropping-particle" : "", "family" : "Jones", "given" : "Peter", "non-dropping-particle" : "", "parse-names" : false, "suffix" : "" }, { "dropping-particle" : "", "family" : "Law", "given" : "Malcolm", "non-dropping-particle" : "", "parse-names" : false, "suffix" : "" }, { "dropping-particle" : "", "family" : "Miettinen", "given" : "Tatu", "non-dropping-particle" : "", "parse-names" : false, "suffix" : "" }, { "dropping-particle" : "", "family" : "Paoletti", "given" : "Rodolfo", "non-dropping-particle" : "", "parse-names" : false, "suffix" : "" } ], "container-title" : "Mayo Clinic Proceedings", "id" : "ITEM-1", "issue" : "8", "issued" : { "date-parts" : [ [ "2003", "8", "1" ] ] }, "language" : "English", "page" : "965-978", "publisher" : "Elsevier", "title" : "Efficacy and Safety of Plant Stanols and Sterols in the Management of Blood Cholesterol Levels", "type" : "article-journal", "volume" : "78" }, "uris" : [ "http://www.mendeley.com/documents/?uuid=d7c1ceb3-b45a-44d6-9754-dc2ab739d62b" ] } ], "mendeley" : { "formattedCitation" : "(Katan et al. 2003)", "plainTextFormattedCitation" : "(Katan et al. 2003)", "previouslyFormattedCitation" : "(Katan et al. 2003)"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(Katan et al. 2003)</w:t>
      </w:r>
      <w:r w:rsidRPr="00547FB5">
        <w:rPr>
          <w:lang w:val="en-GB" w:eastAsia="en-AU" w:bidi="ar-SA"/>
        </w:rPr>
        <w:fldChar w:fldCharType="end"/>
      </w:r>
      <w:r w:rsidRPr="00547FB5">
        <w:rPr>
          <w:lang w:val="en-GB" w:eastAsia="en-AU" w:bidi="ar-SA"/>
        </w:rPr>
        <w:t xml:space="preserve"> </w:t>
      </w:r>
      <w:r w:rsidRPr="00547FB5">
        <w:rPr>
          <w:lang w:val="en-GB"/>
        </w:rPr>
        <w:t xml:space="preserve">of fourteen randomised placebo-controlled intervention studies </w:t>
      </w:r>
      <w:r w:rsidRPr="00547FB5">
        <w:rPr>
          <w:rFonts w:cs="Arial"/>
          <w:bCs/>
          <w:szCs w:val="22"/>
          <w:lang w:val="en-GB"/>
        </w:rPr>
        <w:t xml:space="preserve">using </w:t>
      </w:r>
      <w:r w:rsidR="00E87935">
        <w:rPr>
          <w:rFonts w:cs="Arial"/>
          <w:bCs/>
          <w:szCs w:val="22"/>
          <w:lang w:val="en-GB"/>
        </w:rPr>
        <w:t xml:space="preserve">daily </w:t>
      </w:r>
      <w:r w:rsidRPr="00547FB5">
        <w:rPr>
          <w:rFonts w:cs="Arial"/>
          <w:bCs/>
          <w:szCs w:val="22"/>
          <w:lang w:val="en-GB"/>
        </w:rPr>
        <w:t>doses that ranged from 0.8 to 4.</w:t>
      </w:r>
      <w:r w:rsidR="0084154A">
        <w:rPr>
          <w:rFonts w:cs="Arial"/>
          <w:bCs/>
          <w:szCs w:val="22"/>
          <w:lang w:val="en-GB"/>
        </w:rPr>
        <w:t>2</w:t>
      </w:r>
      <w:r w:rsidR="00E87935">
        <w:rPr>
          <w:rFonts w:cs="Arial"/>
          <w:bCs/>
          <w:szCs w:val="22"/>
          <w:lang w:val="en-GB"/>
        </w:rPr>
        <w:t xml:space="preserve"> g</w:t>
      </w:r>
      <w:r w:rsidRPr="00547FB5">
        <w:rPr>
          <w:rFonts w:cs="Arial"/>
          <w:bCs/>
          <w:szCs w:val="22"/>
          <w:lang w:val="en-GB"/>
        </w:rPr>
        <w:t xml:space="preserve"> </w:t>
      </w:r>
      <w:r w:rsidR="0084154A">
        <w:rPr>
          <w:rFonts w:cs="Arial"/>
          <w:bCs/>
          <w:szCs w:val="22"/>
          <w:lang w:val="en-GB"/>
        </w:rPr>
        <w:t xml:space="preserve">of </w:t>
      </w:r>
      <w:r w:rsidR="00E87935">
        <w:rPr>
          <w:rFonts w:cs="Arial"/>
          <w:bCs/>
          <w:szCs w:val="22"/>
          <w:lang w:val="en-GB"/>
        </w:rPr>
        <w:t>total</w:t>
      </w:r>
      <w:r w:rsidR="00A44A34">
        <w:rPr>
          <w:rFonts w:cs="Arial"/>
          <w:bCs/>
          <w:szCs w:val="22"/>
          <w:lang w:val="en-GB"/>
        </w:rPr>
        <w:t xml:space="preserve"> plant sterol</w:t>
      </w:r>
      <w:r w:rsidR="0084154A">
        <w:rPr>
          <w:rFonts w:cs="Arial"/>
          <w:bCs/>
          <w:szCs w:val="22"/>
          <w:lang w:val="en-GB"/>
        </w:rPr>
        <w:t xml:space="preserve"> </w:t>
      </w:r>
      <w:r w:rsidR="00E87935">
        <w:rPr>
          <w:rFonts w:cs="Arial"/>
          <w:bCs/>
          <w:szCs w:val="22"/>
          <w:lang w:val="en-GB"/>
        </w:rPr>
        <w:t xml:space="preserve">equivalents </w:t>
      </w:r>
      <w:r w:rsidRPr="00547FB5">
        <w:rPr>
          <w:rFonts w:cs="Arial"/>
          <w:bCs/>
          <w:szCs w:val="22"/>
          <w:lang w:val="en-GB"/>
        </w:rPr>
        <w:t>and lasted between 3 and 52 weeks suggest</w:t>
      </w:r>
      <w:r w:rsidR="00E87935">
        <w:rPr>
          <w:rFonts w:cs="Arial"/>
          <w:bCs/>
          <w:szCs w:val="22"/>
          <w:lang w:val="en-GB"/>
        </w:rPr>
        <w:t>s</w:t>
      </w:r>
      <w:r w:rsidRPr="00547FB5">
        <w:rPr>
          <w:rFonts w:cs="Arial"/>
          <w:bCs/>
          <w:szCs w:val="22"/>
          <w:lang w:val="en-GB"/>
        </w:rPr>
        <w:t xml:space="preserve"> that the reduction in serum </w:t>
      </w:r>
      <w:r w:rsidRPr="00547FB5">
        <w:rPr>
          <w:rFonts w:cs="Arial"/>
          <w:lang w:val="en-GB"/>
        </w:rPr>
        <w:t>β</w:t>
      </w:r>
      <w:r w:rsidRPr="00547FB5">
        <w:rPr>
          <w:lang w:val="en-GB"/>
        </w:rPr>
        <w:t>-carotene concentration</w:t>
      </w:r>
      <w:r w:rsidRPr="00547FB5">
        <w:rPr>
          <w:rFonts w:cs="Arial"/>
          <w:bCs/>
          <w:szCs w:val="22"/>
          <w:lang w:val="en-GB"/>
        </w:rPr>
        <w:t xml:space="preserve"> is not nutritionally relevant in that the pooled mean difference in</w:t>
      </w:r>
      <w:r w:rsidR="008275DA">
        <w:rPr>
          <w:rFonts w:cs="Arial"/>
          <w:bCs/>
          <w:szCs w:val="22"/>
          <w:lang w:val="en-GB"/>
        </w:rPr>
        <w:t xml:space="preserve"> serum vitamin A concentration </w:t>
      </w:r>
      <w:r w:rsidRPr="00547FB5">
        <w:rPr>
          <w:rFonts w:cs="Arial"/>
          <w:bCs/>
          <w:szCs w:val="22"/>
          <w:lang w:val="en-GB"/>
        </w:rPr>
        <w:t xml:space="preserve">(-0.1%) across the trials was not statistically significant (95% CI: -1.6 to 1.5%). </w:t>
      </w:r>
      <w:r w:rsidRPr="00547FB5">
        <w:rPr>
          <w:lang w:val="en-GB"/>
        </w:rPr>
        <w:t>Indeed, the mean serum vitamin A concentration of</w:t>
      </w:r>
      <w:r w:rsidR="00E87935">
        <w:rPr>
          <w:lang w:val="en-GB"/>
        </w:rPr>
        <w:t xml:space="preserve"> subjects (n = 25) receiving 8.9</w:t>
      </w:r>
      <w:r w:rsidRPr="00547FB5">
        <w:rPr>
          <w:lang w:val="en-GB"/>
        </w:rPr>
        <w:t xml:space="preserve"> g/day of </w:t>
      </w:r>
      <w:r w:rsidR="00E87935">
        <w:rPr>
          <w:lang w:val="en-GB"/>
        </w:rPr>
        <w:t>total</w:t>
      </w:r>
      <w:r w:rsidRPr="00547FB5">
        <w:rPr>
          <w:lang w:val="en-GB"/>
        </w:rPr>
        <w:t xml:space="preserve"> </w:t>
      </w:r>
      <w:r w:rsidR="00A44A34">
        <w:rPr>
          <w:lang w:val="en-GB"/>
        </w:rPr>
        <w:t>plant sterol</w:t>
      </w:r>
      <w:r w:rsidR="00E87935">
        <w:rPr>
          <w:lang w:val="en-GB"/>
        </w:rPr>
        <w:t xml:space="preserve"> equivalents</w:t>
      </w:r>
      <w:r w:rsidR="00F2126A">
        <w:rPr>
          <w:lang w:val="en-GB"/>
        </w:rPr>
        <w:t>, given as plant stanol esters,</w:t>
      </w:r>
      <w:r w:rsidR="00E87935">
        <w:rPr>
          <w:lang w:val="en-GB"/>
        </w:rPr>
        <w:t xml:space="preserve"> </w:t>
      </w:r>
      <w:r w:rsidRPr="00547FB5">
        <w:rPr>
          <w:lang w:val="en-GB"/>
        </w:rPr>
        <w:t xml:space="preserve">during a ten-week randomised, double-blind, placebo-controlled study </w:t>
      </w:r>
      <w:r w:rsidRPr="00547FB5">
        <w:rPr>
          <w:lang w:val="en-GB" w:eastAsia="en-AU" w:bidi="ar-SA"/>
        </w:rPr>
        <w:fldChar w:fldCharType="begin" w:fldLock="1"/>
      </w:r>
      <w:r w:rsidRPr="00547FB5">
        <w:rPr>
          <w:lang w:val="en-GB" w:eastAsia="en-AU" w:bidi="ar-SA"/>
        </w:rPr>
        <w:instrText>ADDIN CSL_CITATION { "citationItems" : [ { "id" : "ITEM-1", "itemData" : { "DOI" : "10.1016/j.clnu.2009.08.005", "ISBN" : "1532-1983 (Electronic)", "ISSN" : "02615614", "PMID" : "19709787", "abstract" : "Background &amp; aims: Intake of 2-3. g/d of plant stanols as esters lowers LDL cholesterol level, but there is no information about the efficacy and safety of a respective very high daily intake. We studied the effects of 8.8. g/d of plant stanols as esters on serum lipids and safety variables in subjects with mild to moderate hypercholesterolemia. Methods: In a randomized, double-blind, placebo-controlled study the intervention (n= 25) and control (n=24) groups consumed spread and drink enriched or not with plant stanol esters for 10 weeks. Results: Plant stanols reduced serum total and LDL cholesterol concentrations by 12.8 and 17.3% from baseline and by 12.0 and 17.1% from controls (P&lt;0.01 for all). Liver enzymes, markers of hemolysis, and blood cells were unchanged. Serum vitamins A, D, and ??-tocopherol concentrations, and the ratios of ??-tocopherol to cholesterol were unchanged. Serum ??-carotene concentrations decreased significantly from baseline and were different from controls even when adjusted for cholesterol. Serum ??-carotene concentration and ??-carotene/cholesterol ratio were not different from controls. Conclusions: High intake of plant stanols reduced LDL cholesterol values without any other side effects than reduction of serum ??-carotene concentration. However, the end product, serum vitamin A levels, were unchanged. The results suggest that plant stanol ester intake can be increased to induce a greater cholesterol lowering effect. ?? 2009 Elsevier Ltd and European Society for Clinical Nutrition and Metabolism.", "author" : [ { "dropping-particle" : "", "family" : "Gylling", "given" : "Helena", "non-dropping-particle" : "", "parse-names" : false, "suffix" : "" }, { "dropping-particle" : "", "family" : "Hallikainen", "given" : "Maarit", "non-dropping-particle" : "", "parse-names" : false, "suffix" : "" }, { "dropping-particle" : "", "family" : "Nissinen", "given" : "Markku J.", "non-dropping-particle" : "", "parse-names" : false, "suffix" : "" }, { "dropping-particle" : "", "family" : "Miettinen", "given" : "Tatu A.", "non-dropping-particle" : "", "parse-names" : false, "suffix" : "" } ], "container-title" : "Clinical Nutrition", "id" : "ITEM-1", "issue" : "1", "issued" : { "date-parts" : [ [ "2010", "2" ] ] }, "page" : "112-118", "title" : "The effect of a very high daily plant stanol ester intake on serum lipids, carotenoids, and fat-soluble vitamins", "type" : "article-journal", "volume" : "29" }, "uris" : [ "http://www.mendeley.com/documents/?uuid=cb4b9a5f-9c7c-49ba-9c8c-3cb339739881" ] } ], "mendeley" : { "formattedCitation" : "(Gylling et al. 2010)", "plainTextFormattedCitation" : "(Gylling et al. 2010)", "previouslyFormattedCitation" : "(Gylling et al. 2010)"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(Gylling et al. 2010)</w:t>
      </w:r>
      <w:r w:rsidRPr="00547FB5">
        <w:rPr>
          <w:lang w:val="en-GB" w:eastAsia="en-AU" w:bidi="ar-SA"/>
        </w:rPr>
        <w:fldChar w:fldCharType="end"/>
      </w:r>
      <w:r w:rsidRPr="00547FB5">
        <w:rPr>
          <w:lang w:val="en-GB" w:eastAsia="en-AU" w:bidi="ar-SA"/>
        </w:rPr>
        <w:t xml:space="preserve"> </w:t>
      </w:r>
      <w:r w:rsidRPr="00547FB5">
        <w:rPr>
          <w:lang w:val="en-GB"/>
        </w:rPr>
        <w:t xml:space="preserve">was not significantly different (p = 0.32 ) compared with the control group (n = 24) that consumed a diet that </w:t>
      </w:r>
      <w:r w:rsidR="00E87935">
        <w:rPr>
          <w:lang w:val="en-GB"/>
        </w:rPr>
        <w:t xml:space="preserve">did not </w:t>
      </w:r>
      <w:r w:rsidRPr="00547FB5">
        <w:rPr>
          <w:lang w:val="en-GB"/>
        </w:rPr>
        <w:t>differ in energy and macronutrients</w:t>
      </w:r>
      <w:r w:rsidR="00E87935">
        <w:rPr>
          <w:lang w:val="en-GB"/>
        </w:rPr>
        <w:t xml:space="preserve"> content but without added plant sterols</w:t>
      </w:r>
      <w:r w:rsidRPr="00547FB5">
        <w:rPr>
          <w:lang w:val="en-GB"/>
        </w:rPr>
        <w:t>.</w:t>
      </w:r>
      <w:r w:rsidR="00F2126A">
        <w:rPr>
          <w:lang w:val="en-GB"/>
        </w:rPr>
        <w:t xml:space="preserve"> </w:t>
      </w:r>
      <w:r w:rsidRPr="00547FB5">
        <w:rPr>
          <w:lang w:val="en-GB"/>
        </w:rPr>
        <w:t xml:space="preserve">Similarly, the mean difference in serum vitamin A concentration between baseline and after </w:t>
      </w:r>
      <w:r w:rsidR="00E87935">
        <w:rPr>
          <w:lang w:val="en-GB"/>
        </w:rPr>
        <w:t>intervention</w:t>
      </w:r>
      <w:r w:rsidRPr="00547FB5">
        <w:rPr>
          <w:lang w:val="en-GB"/>
        </w:rPr>
        <w:t xml:space="preserve"> during a 15 week randomised double-blind, placebo-controlled trial </w:t>
      </w:r>
      <w:r w:rsidRPr="00547FB5">
        <w:rPr>
          <w:lang w:val="en-GB"/>
        </w:rPr>
        <w:fldChar w:fldCharType="begin" w:fldLock="1"/>
      </w:r>
      <w:r w:rsidRPr="00547FB5">
        <w:rPr>
          <w:lang w:val="en-GB"/>
        </w:rPr>
        <w:instrText>ADDIN CSL_CITATION { "citationItems" : [ { "id" : "ITEM-1", "itemData" : { "DOI" : "10.1038/ejcn.2008.11", "ISSN" : "0954-3007", "author" : [ { "dropping-particle" : "", "family" : "Tuomilehto", "given" : "J", "non-dropping-particle" : "", "parse-names" : false, "suffix" : "" }, { "dropping-particle" : "", "family" : "Tikkanen", "given" : "M J", "non-dropping-particle" : "", "parse-names" : false, "suffix" : "" }, { "dropping-particle" : "", "family" : "H\u00f6gstr\u00f6m", "given" : "P", "non-dropping-particle" : "", "parse-names" : false, "suffix" : "" }, { "dropping-particle" : "", "family" : "Kein\u00e4nen-Kiukaanniemi", "given" : "S", "non-dropping-particle" : "", "parse-names" : false, "suffix" : "" }, { "dropping-particle" : "", "family" : "Piironen", "given" : "V", "non-dropping-particle" : "", "parse-names" : false, "suffix" : "" }, { "dropping-particle" : "", "family" : "Toivo", "given" : "J", "non-dropping-particle" : "", "parse-names" : false, "suffix" : "" }, { "dropping-particle" : "", "family" : "Salonen", "given" : "J T", "non-dropping-particle" : "", "parse-names" : false, "suffix" : "" }, { "dropping-particle" : "", "family" : "Nyyss\u00f6nen", "given" : "K", "non-dropping-particle" : "", "parse-names" : false, "suffix" : "" }, { "dropping-particle" : "", "family" : "Stenman", "given" : "U-H", "non-dropping-particle" : "", "parse-names" : false, "suffix" : "" }, { "dropping-particle" : "", "family" : "Alfthan", "given" : "H", "non-dropping-particle" : "", "parse-names" : false, "suffix" : "" }, { "dropping-particle" : "", "family" : "Karppanen", "given" : "H", "non-dropping-particle" : "", "parse-names" : false, "suffix" : "" } ], "container-title" : "European Journal of Clinical Nutrition", "id" : "ITEM-1", "issue" : "5", "issued" : { "date-parts" : [ [ "2009", "5", "13" ] ] }, "page" : "684-691", "title" : "Safety assessment of common foods enriched with natural nonesterified plant sterols", "type" : "article-journal", "volume" : "63" }, "uris" : [ "http://www.mendeley.com/documents/?uuid=a73811ea-0b09-4f3a-ad0e-b9963c5e0c82" ] } ], "mendeley" : { "formattedCitation" : "(Tuomilehto et al. 2009)", "plainTextFormattedCitation" : "(Tuomilehto et al. 2009)", "previouslyFormattedCitation" : "(Tuomilehto et al. 2009)" }, "properties" : { "noteIndex" : 0 }, "schema" : "https://github.com/citation-style-language/schema/raw/master/csl-citation.json" }</w:instrText>
      </w:r>
      <w:r w:rsidRPr="00547FB5">
        <w:rPr>
          <w:lang w:val="en-GB"/>
        </w:rPr>
        <w:fldChar w:fldCharType="separate"/>
      </w:r>
      <w:r w:rsidRPr="00547FB5">
        <w:rPr>
          <w:noProof/>
          <w:lang w:val="en-GB"/>
        </w:rPr>
        <w:t>(Tuomilehto et al. 2009)</w:t>
      </w:r>
      <w:r w:rsidRPr="00547FB5">
        <w:rPr>
          <w:lang w:val="en-GB"/>
        </w:rPr>
        <w:fldChar w:fldCharType="end"/>
      </w:r>
      <w:r w:rsidRPr="00547FB5">
        <w:rPr>
          <w:lang w:val="en-GB"/>
        </w:rPr>
        <w:t xml:space="preserve"> in which the subjects (n = 36) received 1.25 g/day for the first five weeks, then 2.5 g/day for the next five weeks, and 5 g/day </w:t>
      </w:r>
      <w:r w:rsidR="00A44A34">
        <w:rPr>
          <w:lang w:val="en-GB"/>
        </w:rPr>
        <w:t>total plant sterol</w:t>
      </w:r>
      <w:r w:rsidR="00E87935">
        <w:rPr>
          <w:lang w:val="en-GB"/>
        </w:rPr>
        <w:t xml:space="preserve"> equivalents</w:t>
      </w:r>
      <w:r w:rsidR="00E87935" w:rsidRPr="00547FB5">
        <w:rPr>
          <w:lang w:val="en-GB"/>
        </w:rPr>
        <w:t xml:space="preserve"> </w:t>
      </w:r>
      <w:r w:rsidRPr="00547FB5">
        <w:rPr>
          <w:lang w:val="en-GB"/>
        </w:rPr>
        <w:t xml:space="preserve">for the last five weeks of the study was not statistically different (p = 0.55) to the mean change from baseline in serum vitamin A concentration for the control group (n = 35). This is consistent with the findings of an eight week randomised, double-blind, placebo controlled clinical trial </w:t>
      </w:r>
      <w:r w:rsidRPr="00547FB5">
        <w:rPr>
          <w:lang w:val="en-GB"/>
        </w:rPr>
        <w:fldChar w:fldCharType="begin" w:fldLock="1"/>
      </w:r>
      <w:r w:rsidRPr="00547FB5">
        <w:rPr>
          <w:lang w:val="en-GB"/>
        </w:rPr>
        <w:instrText>ADDIN CSL_CITATION { "citationItems" : [ { "id" : "ITEM-1",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"ITEM-1",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"(Davidson et al. 2001)", "plainTextFormattedCitation" : "(Davidson et al. 2001)", "previouslyFormattedCitation" : "(Davidson et al. 2001)" }, "properties" : { "noteIndex" : 0 }, "schema" : "https://github.com/citation-style-language/schema/raw/master/csl-citation.json" }</w:instrText>
      </w:r>
      <w:r w:rsidRPr="00547FB5">
        <w:rPr>
          <w:lang w:val="en-GB"/>
        </w:rPr>
        <w:fldChar w:fldCharType="separate"/>
      </w:r>
      <w:r w:rsidRPr="00547FB5">
        <w:rPr>
          <w:noProof/>
          <w:lang w:val="en-GB"/>
        </w:rPr>
        <w:t>(Davidson et al. 2001)</w:t>
      </w:r>
      <w:r w:rsidRPr="00547FB5">
        <w:rPr>
          <w:lang w:val="en-GB"/>
        </w:rPr>
        <w:fldChar w:fldCharType="end"/>
      </w:r>
      <w:r w:rsidRPr="00547FB5">
        <w:rPr>
          <w:lang w:val="en-GB"/>
        </w:rPr>
        <w:t xml:space="preserve"> with four parallel arms that showed daily doses of up to 9 g of </w:t>
      </w:r>
      <w:r w:rsidR="00A44A34">
        <w:rPr>
          <w:lang w:val="en-GB"/>
        </w:rPr>
        <w:t>total plant sterol</w:t>
      </w:r>
      <w:r w:rsidR="00E87935">
        <w:rPr>
          <w:lang w:val="en-GB"/>
        </w:rPr>
        <w:t xml:space="preserve"> equivalents</w:t>
      </w:r>
      <w:r w:rsidR="00826BBA">
        <w:rPr>
          <w:lang w:val="en-GB"/>
        </w:rPr>
        <w:t>, given in esterified form,</w:t>
      </w:r>
      <w:r w:rsidR="00E87935" w:rsidRPr="00547FB5">
        <w:rPr>
          <w:lang w:val="en-GB"/>
        </w:rPr>
        <w:t xml:space="preserve"> </w:t>
      </w:r>
      <w:r w:rsidRPr="00547FB5">
        <w:rPr>
          <w:lang w:val="en-GB"/>
        </w:rPr>
        <w:t xml:space="preserve">did not significantly change </w:t>
      </w:r>
      <w:r w:rsidR="00E87935">
        <w:rPr>
          <w:lang w:val="en-GB"/>
        </w:rPr>
        <w:t>serum vitamin A concentrations.</w:t>
      </w:r>
      <w:r w:rsidR="00826BBA">
        <w:rPr>
          <w:lang w:val="en-GB"/>
        </w:rPr>
        <w:t xml:space="preserve"> </w:t>
      </w:r>
    </w:p>
    <w:p w14:paraId="57604C2A" w14:textId="77777777" w:rsidR="0051780C" w:rsidRPr="00547FB5" w:rsidRDefault="0051780C" w:rsidP="0051780C">
      <w:pPr>
        <w:autoSpaceDE w:val="0"/>
        <w:autoSpaceDN w:val="0"/>
        <w:adjustRightInd w:val="0"/>
        <w:rPr>
          <w:lang w:val="en-GB" w:eastAsia="en-AU" w:bidi="ar-SA"/>
        </w:rPr>
      </w:pPr>
    </w:p>
    <w:p w14:paraId="2456CEBC" w14:textId="77777777" w:rsidR="0051780C" w:rsidRPr="00547FB5" w:rsidRDefault="0051780C" w:rsidP="0051780C">
      <w:pPr>
        <w:rPr>
          <w:rFonts w:cs="Arial"/>
          <w:bCs/>
          <w:lang w:val="en-GB"/>
        </w:rPr>
      </w:pPr>
      <w:r w:rsidRPr="00547FB5">
        <w:rPr>
          <w:rFonts w:cs="Arial"/>
          <w:bCs/>
          <w:lang w:val="en-GB"/>
        </w:rPr>
        <w:t xml:space="preserve">Four human clinical studies </w:t>
      </w:r>
      <w:r w:rsidRPr="00547FB5">
        <w:rPr>
          <w:rFonts w:cs="Arial"/>
          <w:bCs/>
          <w:lang w:val="en-GB"/>
        </w:rPr>
        <w:fldChar w:fldCharType="begin" w:fldLock="1"/>
      </w:r>
      <w:r w:rsidRPr="00547FB5">
        <w:rPr>
          <w:rFonts w:cs="Arial"/>
          <w:bCs/>
          <w:lang w:val="en-GB"/>
        </w:rPr>
        <w:instrText>ADDIN CSL_CITATION { "citationItems" : [ { "id" : "ITEM-1", "itemData" : { "DOI" : "10.1016/j.numecd.2010.09.011", "ISBN" : "0939-4753", "ISSN" : "09394753", "PMID" : "21215605", "abstract" : "Background and aims: Plant sterols are naturally occurring cholesterol-lowering compounds which are industrially incorporated in various foods. A novel food carrier is rye bread, the intake of which can be monitored in trials utilizing newly defined plasma biomarkers. Our aim was to determine the effects of plant sterols incorporated into high-fiber rye bread on serum total and LDL cholesterol, apoB/apoA1 and total cholesterol/HDL cholesterol ratios and lipophilic (pro)vitamins in healthy free-living normocholesterolemic individuals. Methods and results: In this double-blind, dietary intervention trial the subjects (n= 68) were randomized to receive a rye bread (9.3. g/d fiber) with added plant sterols (2. g/d) (active) or without (control). In the second phase of the study the amount of rye bread was doubled providing 18.6. g/d fiber and in the active group 4. g/d plant sterols. Compliance was monitored utilizing 3-day food diaries and a novel rye fiber-derived biomarker in plasma. Intake of rye bread enriched with 2. g/d of plant sterols during two weeks reduced significantly serum total and LDL cholesterol, apoB/apoA1 and total cholesterol/HDL cholesterol ratios by 5.1%, 8.1%, 8.3% and 7.2%, respectively, compared to controls. Correspondingly, the following two-week treatment with 4. g/d of plant sterols resulted in 6.5%, 10.4%, 5.5% and 3.7% difference compared to controls, being most pronounced for LDL (0.33. mmol/L). The treatments did not affect lipophilic (pro)vitamin levels. Conclusion: Rye bread enriched with 2-4. g/d of nonesterified plant sterols beneficially modifies cardiovascular lipid risk factors in normocholesterolemic subjects compared to controls. \u00a9 2010 Elsevier B.V.", "author" : [ { "dropping-particle" : "", "family" : "S\u00f6derholm", "given" : "P.P.", "non-dropping-particle" : "", "parse-names" : false, "suffix" : "" }, { "dropping-particle" : "", "family" : "Alfthan", "given" : "G.", "non-dropping-particle" : "", "parse-names" : false, "suffix" : "" }, { "dropping-particle" : "", "family" : "Koskela", "given" : "A.H.", "non-dropping-particle" : "", "parse-names" : false, "suffix" : "" }, { "dropping-particle" : "", "family" : "Adlercreutz", "given" : "H.", "non-dropping-particle" : "", "parse-names" : false, "suffix" : "" }, { "dropping-particle" : "", "family" : "Tikkanen", "given" : "M.J.", "non-dropping-particle" : "", "parse-names" : false, "suffix" : "" } ], "container-title" : "Nutrition, Metabolism and Cardiovascular Diseases", "id" : "ITEM-1", "issue" : "7", "issued" : { "date-parts" : [ [ "2012", "7" ] ] }, "page" : "575-582", "title" : "The effect of high-fiber rye bread enriched with nonesterified plant sterols on major serum lipids and apolipoproteins in normocholesterolemic individuals", "type" : "article-journal", "volume" : "22" }, "uris" : [ "http://www.mendeley.com/documents/?uuid=368dbe75-5d6f-441c-849e-a04dbb1ac0d7" ] }, { "id" : "ITEM-2", "itemData" : { "DOI" : "10.3109/09637486.2012.706597", "ISSN" : "0963-7486", "abstract" : "Several studies have observed decreased levels of lipophilic antioxidants after supplementation with phytosterols and stanols. The aim of this study was to examine the effect of phytosterol supplementation on plasma total antioxidant capacity in patients with metabolic syndrome. In a parallel arm, randomized placebo-controlled design, 108 patients with metabolic syndrome were assigned to consume yogurt beverage which provided 4 g of phytosterols per day or yogurt beverage without phytosterols. The duration of the study was 2 months and the patients in both groups followed their habitual westernized type diet. Blood samples were drawn at baseline and after 2 months, and the total antioxidant capacity of plasma was measured using the ferric reducing antioxidant power of plasma and oxygen radical absorbance capacity assays. After 2 months of intervention, plasma total antioxidant capacity did not differ between and within the intervention and the control groups. Phytosterol supplementation does not affect plasma antioxidant status.", "author" : [ { "dropping-particle" : "", "family" : "Sialvera", "given" : "Theodora-Eirini", "non-dropping-particle" : "", "parse-names" : false, "suffix" : "" }, { "dropping-particle" : "", "family" : "Koutelidakis", "given" : "Antonios E", "non-dropping-particle" : "", "parse-names" : false, "suffix" : "" }, { "dropping-particle" : "", "family" : "Richter", "given" : "Dimitris J", "non-dropping-particle" : "", "parse-names" : false, "suffix" : "" }, { "dropping-particle" : "", "family" : "Yfanti", "given" : "Georgia", "non-dropping-particle" : "", "parse-names" : false, "suffix" : "" }, { "dropping-particle" : "", "family" : "Kapsokefalou", "given" : "Maria", "non-dropping-particle" : "", "parse-names" : false, "suffix" : "" }, { "dropping-particle" : "", "family" : "Micha", "given" : "Renata", "non-dropping-particle" : "", "parse-names" : false, "suffix" : "" }, { "dropping-particle" : "", "family" : "Goumas", "given" : "Giorgos", "non-dropping-particle" : "", "parse-names" : false, "suffix" : "" }, { "dropping-particle" : "", "family" : "Diamantopoulos", "given" : "Emmanouil", "non-dropping-particle" : "", "parse-names" : false, "suffix" : "" }, { "dropping-particle" : "", "family" : "Zampelas", "given" : "Antonis", "non-dropping-particle" : "", "parse-names" : false, "suffix" : "" } ], "container-title" : "International Journal of Food Sciences and Nutrition", "id" : "ITEM-2", "issue" : "1", "issued" : { "date-parts" : [ [ "2013", "2", "20" ] ] }, "page" : "21-27", "title" : "Phytosterol supplementation does not affect plasma antioxidant capacity in patients with metabolic syndrome", "type" : "article-journal", "volume" : "64" }, "uris" : [ "http://www.mendeley.com/documents/?uuid=704e0722-71d6-43f4-bf10-d5c4ba5fe269" ] }, { "id" : "ITEM-3",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"ITEM-3", "issued" : { "date-parts" : [ [ "2012" ] ] }, "page" : "138", "publisher" : "Annals of Nutrition and Metabolism, 60(2)", "publisher-place" : "Kalabaka, Greece", "title" : "Effect of plant sterols on vitamin D absorption", "type" : "paper-conference" }, "uris" : [ "http://www.mendeley.com/documents/?uuid=bd53db86-27e0-469f-b5da-284441159348" ] }, { "id" : "ITEM-4", "itemData" : { "DOI" : "10.1007/s13197-013-1103-y", "ISSN" : "0022-1155", "abstract" : "The aim of the current study was to investigate if the supplementation of vitamin A via a phytosterol enriched low-fat milk could prevent the reduction of plasma beta-carotene concentrations than often occurs after plant sterols' or stanols' intake. A sample of 108 hypercholesterolaemic adults (40-60 years old) was randomized to an enriched milk group that contained among other nutrients phytosterols (0.5 g/100 ml) and vitamin A (111 \u03bcg/100 ml) (EMG: n = 40), a placebo plain milk group (PMG: n = 37), and a control group (CG: n = 31) following their usual diet; the EMG and the PMG consumed 500 ml milk per day and in order to ensure compliance with the intervention scheme, attended health and nutrition counselling sessions biweekly over a 3-month period. Dietary intake of vitamin A significantly increased in the EMG compared to the PMG and the CG (P &lt; 0.001) and all groups significantly increased their vegetable consumption. However, no significant differences were found among groups regarding changes in dietary intake of beta-carotene and consumption of fruits. Regarding biochemical indices, total cholesterol, LDL-cholesterol and apolipoprotein-B decreased significantly within all study groups, with the decreases being significantly higher in the EMG compared to the CG (-25.4 vs.-9.9;-21.7 vs.-8.2 and-13.2 vs.-3.4 mg/dl, respectively; P &lt; 0.05). Plasma concentrations of beta-carotene did not change in any of the three groups. Extra fortification of a phytosterol enriched milk with vitamin A seems to be useful in maintaining plasma beta-carotene levels of hypercholesterolemic adults after consumption of 2.5 g/d of phytosterols over a 3-month intervention period. \u00a9 2013 Association of Food Scientists &amp; Technologists (India).", "author" : [ { "dropping-particle" : "", "family" : "Petrogianni", "given" : "Maria", "non-dropping-particle" : "", "parse-names" : false, "suffix" : "" }, { "dropping-particle" : "", "family" : "Kanellakis", "given" : "Spyridon", "non-dropping-particle" : "", "parse-names" : false, "suffix" : "" }, { "dropping-particle" : "", "family" : "Moschonis", "given" : "George", "non-dropping-particle" : "", "parse-names" : false, "suffix" : "" }, { "dropping-particle" : "", "family" : "Manios", "given" : "Yannis", "non-dropping-particle" : "", "parse-names" : false, "suffix" : "" } ], "container-title" : "Journal of Food Science and Technology", "id" : "ITEM-4", "issue" : "1", "issued" : { "date-parts" : [ [ "2014", "1", "4" ] ] }, "page" : "196-199", "title" : "Fortification of vitamin A in a phytosterol enriched milk maintains plasma beta-carotene levels", "type" : "article-journal", "volume" : "51" }, "uris" : [ "http://www.mendeley.com/documents/?uuid=f42ae546-6ffc-4132-bb7a-ec6ff8b264f0" ] } ], "mendeley" : { "formattedCitation" : "(Kaffe et al. 2012; S\u00f6derholm et al. 2012; Sialvera et al. 2013; Petrogianni et al. 2014)", "plainTextFormattedCitation" : "(Kaffe et al. 2012; S\u00f6derholm et al. 2012; Sialvera et al. 2013; Petrogianni et al. 2014)", "previouslyFormattedCitation" : "(Kaffe et al. 2012; S\u00f6derholm et al. 2012; Sialvera et al. 2013; Petrogianni et al. 2014)"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 Söderholm et al. 2012; Sialvera et al. 2013; Petrogianni et al. 2014)</w:t>
      </w:r>
      <w:r w:rsidRPr="00547FB5">
        <w:rPr>
          <w:rFonts w:cs="Arial"/>
          <w:bCs/>
          <w:lang w:val="en-GB"/>
        </w:rPr>
        <w:fldChar w:fldCharType="end"/>
      </w:r>
      <w:r w:rsidRPr="00547FB5">
        <w:rPr>
          <w:rFonts w:cs="Arial"/>
          <w:bCs/>
          <w:noProof/>
          <w:lang w:val="en-GB"/>
        </w:rPr>
        <w:t xml:space="preserve"> reporting the effects of plant sterols on the concentrations of fat-soluble vitamins have been </w:t>
      </w:r>
      <w:r w:rsidRPr="00547FB5">
        <w:rPr>
          <w:rFonts w:cs="Arial"/>
          <w:bCs/>
          <w:lang w:val="en-GB"/>
        </w:rPr>
        <w:t>published since the last assessment by FSANZ in 2012</w:t>
      </w:r>
      <w:r w:rsidRPr="00547FB5" w:rsidDel="0015170D">
        <w:rPr>
          <w:rFonts w:cs="Arial"/>
          <w:bCs/>
          <w:lang w:val="en-GB"/>
        </w:rPr>
        <w:t>.</w:t>
      </w:r>
      <w:r w:rsidRPr="00547FB5">
        <w:rPr>
          <w:rFonts w:cs="Arial"/>
          <w:bCs/>
          <w:lang w:val="en-GB"/>
        </w:rPr>
        <w:t xml:space="preserve"> In two </w:t>
      </w:r>
      <w:r w:rsidRPr="00547FB5">
        <w:rPr>
          <w:rFonts w:cs="Arial"/>
          <w:bCs/>
          <w:lang w:val="en-GB"/>
        </w:rPr>
        <w:fldChar w:fldCharType="begin" w:fldLock="1"/>
      </w:r>
      <w:r w:rsidRPr="00547FB5">
        <w:rPr>
          <w:rFonts w:cs="Arial"/>
          <w:bCs/>
          <w:lang w:val="en-GB"/>
        </w:rPr>
        <w:instrText>ADDIN CSL_CITATION { "citationItems" : [ { "id" : "ITEM-1",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"ITEM-1", "issued" : { "date-parts" : [ [ "2012" ] ] }, "page" : "138", "publisher" : "Annals of Nutrition and Metabolism, 60(2)", "publisher-place" : "Kalabaka, Greece", "title" : "Effect of plant sterols on vitamin D absorption", "type" : "paper-conference" }, "uris" : [ "http://www.mendeley.com/documents/?uuid=bd53db86-27e0-469f-b5da-284441159348" ] }, { "id" : "ITEM-2", "itemData" : { "DOI" : "10.1007/s13197-013-1103-y", "ISSN" : "0022-1155", "abstract" : "The aim of the current study was to investigate if the supplementation of vitamin A via a phytosterol enriched low-fat milk could prevent the reduction of plasma beta-carotene concentrations than often occurs after plant sterols' or stanols' intake. A sample of 108 hypercholesterolaemic adults (40-60 years old) was randomized to an enriched milk group that contained among other nutrients phytosterols (0.5 g/100 ml) and vitamin A (111 \u03bcg/100 ml) (EMG: n = 40), a placebo plain milk group (PMG: n = 37), and a control group (CG: n = 31) following their usual diet; the EMG and the PMG consumed 500 ml milk per day and in order to ensure compliance with the intervention scheme, attended health and nutrition counselling sessions biweekly over a 3-month period. Dietary intake of vitamin A significantly increased in the EMG compared to the PMG and the CG (P &lt; 0.001) and all groups significantly increased their vegetable consumption. However, no significant differences were found among groups regarding changes in dietary intake of beta-carotene and consumption of fruits. Regarding biochemical indices, total cholesterol, LDL-cholesterol and apolipoprotein-B decreased significantly within all study groups, with the decreases being significantly higher in the EMG compared to the CG (-25.4 vs.-9.9;-21.7 vs.-8.2 and-13.2 vs.-3.4 mg/dl, respectively; P &lt; 0.05). Plasma concentrations of beta-carotene did not change in any of the three groups. Extra fortification of a phytosterol enriched milk with vitamin A seems to be useful in maintaining plasma beta-carotene levels of hypercholesterolemic adults after consumption of 2.5 g/d of phytosterols over a 3-month intervention period. \u00a9 2013 Association of Food Scientists &amp; Technologists (India).", "author" : [ { "dropping-particle" : "", "family" : "Petrogianni", "given" : "Maria", "non-dropping-particle" : "", "parse-names" : false, "suffix" : "" }, { "dropping-particle" : "", "family" : "Kanellakis", "given" : "Spyridon", "non-dropping-particle" : "", "parse-names" : false, "suffix" : "" }, { "dropping-particle" : "", "family" : "Moschonis", "given" : "George", "non-dropping-particle" : "", "parse-names" : false, "suffix" : "" }, { "dropping-particle" : "", "family" : "Manios", "given" : "Yannis", "non-dropping-particle" : "", "parse-names" : false, "suffix" : "" } ], "container-title" : "Journal of Food Science and Technology", "id" : "ITEM-2", "issue" : "1", "issued" : { "date-parts" : [ [ "2014", "1", "4" ] ] }, "page" : "196-199", "title" : "Fortification of vitamin A in a phytosterol enriched milk maintains plasma beta-carotene levels", "type" : "article-journal", "volume" : "51" }, "uris" : [ "http://www.mendeley.com/documents/?uuid=f42ae546-6ffc-4132-bb7a-ec6ff8b264f0" ] } ], "mendeley" : { "formattedCitation" : "(Kaffe et al. 2012; Petrogianni et al. 2014)", "plainTextFormattedCitation" : "(Kaffe et al. 2012; Petrogianni et al. 2014)", "previouslyFormattedCitation" : "(Kaffe et al. 2012; Petrogianni et al. 2014)"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 Petrogianni et al. 2014)</w:t>
      </w:r>
      <w:r w:rsidRPr="00547FB5">
        <w:rPr>
          <w:rFonts w:cs="Arial"/>
          <w:bCs/>
          <w:lang w:val="en-GB"/>
        </w:rPr>
        <w:fldChar w:fldCharType="end"/>
      </w:r>
      <w:r w:rsidRPr="00547FB5">
        <w:rPr>
          <w:rFonts w:cs="Arial"/>
          <w:bCs/>
          <w:lang w:val="en-GB"/>
        </w:rPr>
        <w:t xml:space="preserve"> of the four studies, the reported changes in circulating fat-soluble vitamin concentrations were confounded by the use of interventions that contained supplemental vitamins that were also measured in the blood of the subjects and in one case </w:t>
      </w:r>
      <w:r w:rsidRPr="00547FB5">
        <w:rPr>
          <w:rFonts w:cs="Arial"/>
          <w:bCs/>
          <w:lang w:val="en-GB"/>
        </w:rPr>
        <w:fldChar w:fldCharType="begin" w:fldLock="1"/>
      </w:r>
      <w:r w:rsidRPr="00547FB5">
        <w:rPr>
          <w:rFonts w:cs="Arial"/>
          <w:bCs/>
          <w:lang w:val="en-GB"/>
        </w:rPr>
        <w:instrText>ADDIN CSL_CITATION { "citationItems" : [ { "id" : "ITEM-1",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"ITEM-1", "issued" : { "date-parts" : [ [ "2012" ] ] }, "page" : "138", "publisher" : "Annals of Nutrition and Metabolism, 60(2)", "publisher-place" : "Kalabaka, Greece", "title" : "Effect of plant sterols on vitamin D absorption", "type" : "paper-conference" }, "uris" : [ "http://www.mendeley.com/documents/?uuid=bd53db86-27e0-469f-b5da-284441159348" ] } ], "mendeley" : { "formattedCitation" : "(Kaffe et al. 2012)", "plainTextFormattedCitation" : "(Kaffe et al. 2012)", "previouslyFormattedCitation" : "(Kaffe et al. 2012)"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w:t>
      </w:r>
      <w:r w:rsidRPr="00547FB5">
        <w:rPr>
          <w:rFonts w:cs="Arial"/>
          <w:bCs/>
          <w:lang w:val="en-GB"/>
        </w:rPr>
        <w:fldChar w:fldCharType="end"/>
      </w:r>
      <w:r w:rsidRPr="00547FB5">
        <w:rPr>
          <w:rFonts w:cs="Arial"/>
          <w:bCs/>
          <w:lang w:val="en-GB"/>
        </w:rPr>
        <w:t xml:space="preserve"> the change was confounded by the use of plant sterols as a delivery vehicle for the fat-soluble vitamin being studied. </w:t>
      </w:r>
    </w:p>
    <w:p w14:paraId="3145D638" w14:textId="77777777" w:rsidR="0051780C" w:rsidRPr="00547FB5" w:rsidRDefault="0051780C" w:rsidP="0051780C">
      <w:pPr>
        <w:rPr>
          <w:rFonts w:cs="Arial"/>
          <w:bCs/>
          <w:lang w:val="en-GB"/>
        </w:rPr>
      </w:pPr>
    </w:p>
    <w:p w14:paraId="5F37E69A" w14:textId="49DD7C16" w:rsidR="0051780C" w:rsidRPr="006545FC" w:rsidRDefault="0051780C" w:rsidP="00F2126A">
      <w:pPr>
        <w:rPr>
          <w:rFonts w:cs="Arial"/>
          <w:bCs/>
          <w:szCs w:val="22"/>
          <w:lang w:val="en-GB"/>
        </w:rPr>
      </w:pPr>
      <w:r w:rsidRPr="00547FB5">
        <w:rPr>
          <w:rFonts w:cs="Arial"/>
          <w:bCs/>
          <w:lang w:val="en-GB"/>
        </w:rPr>
        <w:t xml:space="preserve">The other two studies were both placebo-controlled, randomised trials with parallel designs. </w:t>
      </w:r>
      <w:r w:rsidR="001147E2" w:rsidRPr="00547FB5">
        <w:rPr>
          <w:rFonts w:cs="Arial"/>
          <w:bCs/>
          <w:noProof/>
          <w:lang w:val="en-GB"/>
        </w:rPr>
        <w:t>Sialvera et al.</w:t>
      </w:r>
      <w:r w:rsidR="001147E2">
        <w:rPr>
          <w:rFonts w:cs="Arial"/>
          <w:bCs/>
          <w:noProof/>
          <w:lang w:val="en-GB"/>
        </w:rPr>
        <w:t xml:space="preserve"> </w:t>
      </w:r>
      <w:r w:rsidRPr="00547FB5">
        <w:rPr>
          <w:rFonts w:cs="Arial"/>
          <w:bCs/>
          <w:lang w:val="en-GB"/>
        </w:rPr>
        <w:fldChar w:fldCharType="begin" w:fldLock="1"/>
      </w:r>
      <w:r w:rsidR="002E30DD">
        <w:rPr>
          <w:rFonts w:cs="Arial"/>
          <w:bCs/>
          <w:lang w:val="en-GB"/>
        </w:rPr>
        <w:instrText>ADDIN CSL_CITATION { "citationItems" : [ { "id" : "ITEM-1", "itemData" : { "DOI" : "10.3109/09637486.2012.706597", "ISSN" : "0963-7486", "abstract" : "Several studies have observed decreased levels of lipophilic antioxidants after supplementation with phytosterols and stanols. The aim of this study was to examine the effect of phytosterol supplementation on plasma total antioxidant capacity in patients with metabolic syndrome. In a parallel arm, randomized placebo-controlled design, 108 patients with metabolic syndrome were assigned to consume yogurt beverage which provided 4 g of phytosterols per day or yogurt beverage without phytosterols. The duration of the study was 2 months and the patients in both groups followed their habitual westernized type diet. Blood samples were drawn at baseline and after 2 months, and the total antioxidant capacity of plasma was measured using the ferric reducing antioxidant power of plasma and oxygen radical absorbance capacity assays. After 2 months of intervention, plasma total antioxidant capacity did not differ between and within the intervention and the control groups. Phytosterol supplementation does not affect plasma antioxidant status.", "author" : [ { "dropping-particle" : "", "family" : "Sialvera", "given" : "Theodora-Eirini", "non-dropping-particle" : "", "parse-names" : false, "suffix" : "" }, { "dropping-particle" : "", "family" : "Koutelidakis", "given" : "Antonios E", "non-dropping-particle" : "", "parse-names" : false, "suffix" : "" }, { "dropping-particle" : "", "family" : "Richter", "given" : "Dimitris J", "non-dropping-particle" : "", "parse-names" : false, "suffix" : "" }, { "dropping-particle" : "", "family" : "Yfanti", "given" : "Georgia", "non-dropping-particle" : "", "parse-names" : false, "suffix" : "" }, { "dropping-particle" : "", "family" : "Kapsokefalou", "given" : "Maria", "non-dropping-particle" : "", "parse-names" : false, "suffix" : "" }, { "dropping-particle" : "", "family" : "Micha", "given" : "Renata", "non-dropping-particle" : "", "parse-names" : false, "suffix" : "" }, { "dropping-particle" : "", "family" : "Goumas", "given" : "Giorgos", "non-dropping-particle" : "", "parse-names" : false, "suffix" : "" }, { "dropping-particle" : "", "family" : "Diamantopoulos", "given" : "Emmanouil", "non-dropping-particle" : "", "parse-names" : false, "suffix" : "" }, { "dropping-particle" : "", "family" : "Zampelas", "given" : "Antonis", "non-dropping-particle" : "", "parse-names" : false, "suffix" : "" } ], "container-title" : "International Journal of Food Sciences and Nutrition", "id" : "ITEM-1", "issue" : "1", "issued" : { "date-parts" : [ [ "2013", "2", "20" ] ] }, "page" : "21-27", "title" : "Phytosterol supplementation does not affect plasma antioxidant capacity in patients with metabolic syndrome", "type" : "article-journal", "volume" : "64" }, "suppress-author" : 1, "uris" : [ "http://www.mendeley.com/documents/?uuid=704e0722-71d6-43f4-bf10-d5c4ba5fe269" ] } ], "mendeley" : { "formattedCitation" : "(2013)", "plainTextFormattedCitation" : "(2013)", "previouslyFormattedCitation" : "(2013)" }, "properties" : { "noteIndex" : 0 }, "schema" : "https://github.com/citation-style-language/schema/raw/master/csl-citation.json" }</w:instrText>
      </w:r>
      <w:r w:rsidRPr="00547FB5">
        <w:rPr>
          <w:rFonts w:cs="Arial"/>
          <w:bCs/>
          <w:lang w:val="en-GB"/>
        </w:rPr>
        <w:fldChar w:fldCharType="separate"/>
      </w:r>
      <w:r w:rsidR="001147E2" w:rsidRPr="001147E2">
        <w:rPr>
          <w:rFonts w:cs="Arial"/>
          <w:bCs/>
          <w:noProof/>
          <w:lang w:val="en-GB"/>
        </w:rPr>
        <w:t>(2013)</w:t>
      </w:r>
      <w:r w:rsidRPr="00547FB5">
        <w:rPr>
          <w:rFonts w:cs="Arial"/>
          <w:bCs/>
          <w:lang w:val="en-GB"/>
        </w:rPr>
        <w:fldChar w:fldCharType="end"/>
      </w:r>
      <w:r w:rsidRPr="00547FB5">
        <w:rPr>
          <w:rFonts w:cs="Arial"/>
          <w:bCs/>
          <w:lang w:val="en-GB"/>
        </w:rPr>
        <w:t xml:space="preserve"> tested the effects of 4 g/day of plant sterols in subjects (n = 53) with metabolic syndrome for two months on plasma antioxidant capacity and the other</w:t>
      </w:r>
      <w:r w:rsidR="001147E2">
        <w:rPr>
          <w:rFonts w:cs="Arial"/>
          <w:bCs/>
          <w:lang w:val="en-GB"/>
        </w:rPr>
        <w:t>s</w:t>
      </w:r>
      <w:r w:rsidRPr="00547FB5">
        <w:rPr>
          <w:rFonts w:cs="Arial"/>
          <w:bCs/>
          <w:lang w:val="en-GB"/>
        </w:rPr>
        <w:t xml:space="preserve"> </w:t>
      </w:r>
      <w:r w:rsidRPr="00547FB5">
        <w:rPr>
          <w:rFonts w:cs="Arial"/>
          <w:bCs/>
          <w:lang w:val="en-GB"/>
        </w:rPr>
        <w:fldChar w:fldCharType="begin" w:fldLock="1"/>
      </w:r>
      <w:r w:rsidRPr="00547FB5">
        <w:rPr>
          <w:rFonts w:cs="Arial"/>
          <w:bCs/>
          <w:lang w:val="en-GB"/>
        </w:rPr>
        <w:instrText>ADDIN CSL_CITATION { "citationItems" : [ { "id" : "ITEM-1", "itemData" : { "DOI" : "10.1016/j.numecd.2010.09.011", "ISBN" : "0939-4753", "ISSN" : "09394753", "PMID" : "21215605", "abstract" : "Background and aims: Plant sterols are naturally occurring cholesterol-lowering compounds which are industrially incorporated in various foods. A novel food carrier is rye bread, the intake of which can be monitored in trials utilizing newly defined plasma biomarkers. Our aim was to determine the effects of plant sterols incorporated into high-fiber rye bread on serum total and LDL cholesterol, apoB/apoA1 and total cholesterol/HDL cholesterol ratios and lipophilic (pro)vitamins in healthy free-living normocholesterolemic individuals. Methods and results: In this double-blind, dietary intervention trial the subjects (n= 68) were randomized to receive a rye bread (9.3. g/d fiber) with added plant sterols (2. g/d) (active) or without (control). In the second phase of the study the amount of rye bread was doubled providing 18.6. g/d fiber and in the active group 4. g/d plant sterols. Compliance was monitored utilizing 3-day food diaries and a novel rye fiber-derived biomarker in plasma. Intake of rye bread enriched with 2. g/d of plant sterols during two weeks reduced significantly serum total and LDL cholesterol, apoB/apoA1 and total cholesterol/HDL cholesterol ratios by 5.1%, 8.1%, 8.3% and 7.2%, respectively, compared to controls. Correspondingly, the following two-week treatment with 4. g/d of plant sterols resulted in 6.5%, 10.4%, 5.5% and 3.7% difference compared to controls, being most pronounced for LDL (0.33. mmol/L). The treatments did not affect lipophilic (pro)vitamin levels. Conclusion: Rye bread enriched with 2-4. g/d of nonesterified plant sterols beneficially modifies cardiovascular lipid risk factors in normocholesterolemic subjects compared to controls. \u00a9 2010 Elsevier B.V.", "author" : [ { "dropping-particle" : "", "family" : "S\u00f6derholm", "given" : "P.P.", "non-dropping-particle" : "", "parse-names" : false, "suffix" : "" }, { "dropping-particle" : "", "family" : "Alfthan", "given" : "G.", "non-dropping-particle" : "", "parse-names" : false, "suffix" : "" }, { "dropping-particle" : "", "family" : "Koskela", "given" : "A.H.", "non-dropping-particle" : "", "parse-names" : false, "suffix" : "" }, { "dropping-particle" : "", "family" : "Adlercreutz", "given" : "H.", "non-dropping-particle" : "", "parse-names" : false, "suffix" : "" }, { "dropping-particle" : "", "family" : "Tikkanen", "given" : "M.J.", "non-dropping-particle" : "", "parse-names" : false, "suffix" : "" } ], "container-title" : "Nutrition, Metabolism and Cardiovascular Diseases", "id" : "ITEM-1", "issue" : "7", "issued" : { "date-parts" : [ [ "2012", "7" ] ] }, "page" : "575-582", "title" : "The effect of high-fiber rye bread enriched with nonesterified plant sterols on major serum lipids and apolipoproteins in normocholesterolemic individuals", "type" : "article-journal", "volume" : "22" }, "uris" : [ "http://www.mendeley.com/documents/?uuid=368dbe75-5d6f-441c-849e-a04dbb1ac0d7" ] }, { "id" : "ITEM-2", "itemData" : { "DOI" : "10.3109/09637486.2012.706597", "ISSN" : "0963-7486", "abstract" : "Several studies have observed decreased levels of lipophilic antioxidants after supplementation with phytosterols and stanols. The aim of this study was to examine the effect of phytosterol supplementation on plasma total antioxidant capacity in patients with metabolic syndrome. In a parallel arm, randomized placebo-controlled design, 108 patients with metabolic syndrome were assigned to consume yogurt beverage which provided 4 g of phytosterols per day or yogurt beverage without phytosterols. The duration of the study was 2 months and the patients in both groups followed their habitual westernized type diet. Blood samples were drawn at baseline and after 2 months, and the total antioxidant capacity of plasma was measured using the ferric reducing antioxidant power of plasma and oxygen radical absorbance capacity assays. After 2 months of intervention, plasma total antioxidant capacity did not differ between and within the intervention and the control groups. Phytosterol supplementation does not affect plasma antioxidant status.", "author" : [ { "dropping-particle" : "", "family" : "Sialvera", "given" : "Theodora-Eirini", "non-dropping-particle" : "", "parse-names" : false, "suffix" : "" }, { "dropping-particle" : "", "family" : "Koutelidakis", "given" : "Antonios E", "non-dropping-particle" : "", "parse-names" : false, "suffix" : "" }, { "dropping-particle" : "", "family" : "Richter", "given" : "Dimitris J", "non-dropping-particle" : "", "parse-names" : false, "suffix" : "" }, { "dropping-particle" : "", "family" : "Yfanti", "given" : "Georgia", "non-dropping-particle" : "", "parse-names" : false, "suffix" : "" }, { "dropping-particle" : "", "family" : "Kapsokefalou", "given" : "Maria", "non-dropping-particle" : "", "parse-names" : false, "suffix" : "" }, { "dropping-particle" : "", "family" : "Micha", "given" : "Renata", "non-dropping-particle" : "", "parse-names" : false, "suffix" : "" }, { "dropping-particle" : "", "family" : "Goumas", "given" : "Giorgos", "non-dropping-particle" : "", "parse-names" : false, "suffix" : "" }, { "dropping-particle" : "", "family" : "Diamantopoulos", "given" : "Emmanouil", "non-dropping-particle" : "", "parse-names" : false, "suffix" : "" }, { "dropping-particle" : "", "family" : "Zampelas", "given" : "Antonis", "non-dropping-particle" : "", "parse-names" : false, "suffix" : "" } ], "container-title" : "International Journal of Food Sciences and Nutrition", "id" : "ITEM-2", "issue" : "1", "issued" : { "date-parts" : [ [ "2013", "2", "20" ] ] }, "page" : "21-27", "title" : "Phytosterol supplementation does not affect plasma antioxidant capacity in patients with metabolic syndrome", "type" : "article-journal", "volume" : "64" }, "uris" : [ "http://www.mendeley.com/documents/?uuid=704e0722-71d6-43f4-bf10-d5c4ba5fe269" ] }, { "id" : "ITEM-3", "itemData" : { "author" : [ { "dropping-particle" : "", "family" : "Kaffe", "given" : "E.", "non-dropping-particle" : "", "parse-names" : false, "suffix" : "" }, { "dropping-particle" : "", "family" : "Salakidou", "given" : "C.", "non-dropping-particle" : "", "parse-names" : false, "suffix" : "" }, { "dropping-particle" : "", "family" : "Menounou", "given" : "I.", "non-dropping-particle" : "", "parse-names" : false, "suffix" : "" }, { "dropping-particle" : "", "family" : "Challa", "given" : "A.", "non-dropping-particle" : "", "parse-names" : false, "suffix" : "" }, { "dropping-particle" : "", "family" : "Moulas", "given" : "A. N.", "non-dropping-particle" : "", "parse-names" : false, "suffix" : "" } ], "container-title" : "15th International Meeting on Fat Soluble Vitamins", "editor" : [ { "dropping-particle" : "", "family" : "Larissa", "given" : "Anargyros Moulas", "non-dropping-particle" : "", "parse-names" : false, "suffix" : "" } ], "id" : "ITEM-3", "issued" : { "date-parts" : [ [ "2012" ] ] }, "page" : "138", "publisher" : "Annals of Nutrition and Metabolism, 60(2)", "publisher-place" : "Kalabaka, Greece", "title" : "Effect of plant sterols on vitamin D absorption", "type" : "paper-conference" }, "uris" : [ "http://www.mendeley.com/documents/?uuid=bd53db86-27e0-469f-b5da-284441159348" ] }, { "id" : "ITEM-4", "itemData" : { "DOI" : "10.1007/s13197-013-1103-y", "ISSN" : "0022-1155", "abstract" : "The aim of the current study was to investigate if the supplementation of vitamin A via a phytosterol enriched low-fat milk could prevent the reduction of plasma beta-carotene concentrations than often occurs after plant sterols' or stanols' intake. A sample of 108 hypercholesterolaemic adults (40-60 years old) was randomized to an enriched milk group that contained among other nutrients phytosterols (0.5 g/100 ml) and vitamin A (111 \u03bcg/100 ml) (EMG: n = 40), a placebo plain milk group (PMG: n = 37), and a control group (CG: n = 31) following their usual diet; the EMG and the PMG consumed 500 ml milk per day and in order to ensure compliance with the intervention scheme, attended health and nutrition counselling sessions biweekly over a 3-month period. Dietary intake of vitamin A significantly increased in the EMG compared to the PMG and the CG (P &lt; 0.001) and all groups significantly increased their vegetable consumption. However, no significant differences were found among groups regarding changes in dietary intake of beta-carotene and consumption of fruits. Regarding biochemical indices, total cholesterol, LDL-cholesterol and apolipoprotein-B decreased significantly within all study groups, with the decreases being significantly higher in the EMG compared to the CG (-25.4 vs.-9.9;-21.7 vs.-8.2 and-13.2 vs.-3.4 mg/dl, respectively; P &lt; 0.05). Plasma concentrations of beta-carotene did not change in any of the three groups. Extra fortification of a phytosterol enriched milk with vitamin A seems to be useful in maintaining plasma beta-carotene levels of hypercholesterolemic adults after consumption of 2.5 g/d of phytosterols over a 3-month intervention period. \u00a9 2013 Association of Food Scientists &amp; Technologists (India).", "author" : [ { "dropping-particle" : "", "family" : "Petrogianni", "given" : "Maria", "non-dropping-particle" : "", "parse-names" : false, "suffix" : "" }, { "dropping-particle" : "", "family" : "Kanellakis", "given" : "Spyridon", "non-dropping-particle" : "", "parse-names" : false, "suffix" : "" }, { "dropping-particle" : "", "family" : "Moschonis", "given" : "George", "non-dropping-particle" : "", "parse-names" : false, "suffix" : "" }, { "dropping-particle" : "", "family" : "Manios", "given" : "Yannis", "non-dropping-particle" : "", "parse-names" : false, "suffix" : "" } ], "container-title" : "Journal of Food Science and Technology", "id" : "ITEM-4", "issue" : "1", "issued" : { "date-parts" : [ [ "2014", "1", "4" ] ] }, "page" : "196-199", "title" : "Fortification of vitamin A in a phytosterol enriched milk maintains plasma beta-carotene levels", "type" : "article-journal", "volume" : "51" }, "uris" : [ "http://www.mendeley.com/documents/?uuid=f42ae546-6ffc-4132-bb7a-ec6ff8b264f0" ] } ], "mendeley" : { "formattedCitation" : "(Kaffe et al. 2012; S\u00f6derholm et al. 2012; Sialvera et al. 2013; Petrogianni et al. 2014)", "plainTextFormattedCitation" : "(Kaffe et al. 2012; S\u00f6derholm et al. 2012; Sialvera et al. 2013; Petrogianni et al. 2014)", "previouslyFormattedCitation" : "(Kaffe et al. 2012; S\u00f6derholm et al. 2012; Sialvera et al. 2013; Petrogianni et al. 2014)" }, "properties" : { "noteIndex" : 0 }, "schema" : "https://github.com/citation-style-language/schema/raw/master/csl-citation.json" }</w:instrText>
      </w:r>
      <w:r w:rsidRPr="00547FB5">
        <w:rPr>
          <w:rFonts w:cs="Arial"/>
          <w:bCs/>
          <w:lang w:val="en-GB"/>
        </w:rPr>
        <w:fldChar w:fldCharType="separate"/>
      </w:r>
      <w:r w:rsidRPr="00547FB5">
        <w:rPr>
          <w:rFonts w:cs="Arial"/>
          <w:bCs/>
          <w:noProof/>
          <w:lang w:val="en-GB"/>
        </w:rPr>
        <w:t>(Kaffe et al. 2012; Söderholm et al. 2012; Sialvera et al. 2013; Petrogianni et al. 2014)</w:t>
      </w:r>
      <w:r w:rsidRPr="00547FB5">
        <w:rPr>
          <w:rFonts w:cs="Arial"/>
          <w:bCs/>
          <w:lang w:val="en-GB"/>
        </w:rPr>
        <w:fldChar w:fldCharType="end"/>
      </w:r>
      <w:r w:rsidRPr="00547FB5">
        <w:rPr>
          <w:rFonts w:cs="Arial"/>
          <w:bCs/>
          <w:lang w:val="en-GB"/>
        </w:rPr>
        <w:t xml:space="preserve"> </w:t>
      </w:r>
      <w:r w:rsidR="001147E2" w:rsidRPr="00547FB5">
        <w:rPr>
          <w:rFonts w:cs="Arial"/>
          <w:bCs/>
          <w:lang w:val="en-GB"/>
        </w:rPr>
        <w:t xml:space="preserve">tested </w:t>
      </w:r>
      <w:r w:rsidRPr="00547FB5">
        <w:rPr>
          <w:rFonts w:cs="Arial"/>
          <w:bCs/>
          <w:lang w:val="en-GB"/>
        </w:rPr>
        <w:t xml:space="preserve">the effects of </w:t>
      </w:r>
      <w:r w:rsidR="007B4397">
        <w:rPr>
          <w:rFonts w:cs="Arial"/>
          <w:bCs/>
          <w:lang w:val="en-GB"/>
        </w:rPr>
        <w:t>free plant sterols</w:t>
      </w:r>
      <w:r w:rsidRPr="00547FB5">
        <w:rPr>
          <w:rFonts w:cs="Arial"/>
          <w:bCs/>
          <w:lang w:val="en-GB"/>
        </w:rPr>
        <w:t xml:space="preserve"> on serum lipids in normocholesterolemic subjects (n = 32) using an initial dose of 2 g/day for two-weeks and then 4 g/day for the final two-weeks of the study</w:t>
      </w:r>
      <w:r>
        <w:rPr>
          <w:rFonts w:cs="Arial"/>
          <w:bCs/>
          <w:lang w:val="en-GB"/>
        </w:rPr>
        <w:t xml:space="preserve">. </w:t>
      </w:r>
      <w:r w:rsidRPr="00547FB5">
        <w:rPr>
          <w:rFonts w:cs="Arial"/>
          <w:bCs/>
          <w:lang w:val="en-GB"/>
        </w:rPr>
        <w:lastRenderedPageBreak/>
        <w:t xml:space="preserve">In both studies, the vitamin E mean concentrations in the intervention groups did not statistically differ from the vitamin E concentrations in the control groups (n = 55 and 31, respectively). Statistically significant changes in blood vitamin E concentrations have been reported for intervention trials with plant sterols. However, it should be noted that </w:t>
      </w:r>
      <w:r w:rsidRPr="00547FB5">
        <w:rPr>
          <w:rFonts w:cs="Arial"/>
          <w:lang w:val="en-GB"/>
        </w:rPr>
        <w:t>a</w:t>
      </w:r>
      <w:r w:rsidRPr="00547FB5" w:rsidDel="00807AE7">
        <w:rPr>
          <w:rFonts w:cs="Arial"/>
          <w:lang w:val="en-GB"/>
        </w:rPr>
        <w:t xml:space="preserve"> meta-analysis </w:t>
      </w:r>
      <w:r w:rsidRPr="00547FB5" w:rsidDel="00807AE7">
        <w:rPr>
          <w:rFonts w:cs="Arial"/>
          <w:lang w:val="en-GB"/>
        </w:rPr>
        <w:fldChar w:fldCharType="begin" w:fldLock="1"/>
      </w:r>
      <w:r w:rsidRPr="00547FB5" w:rsidDel="00807AE7">
        <w:rPr>
          <w:rFonts w:cs="Arial"/>
          <w:lang w:val="en-GB"/>
        </w:rPr>
        <w:instrText>ADDIN CSL_CITATION { "citationItems" : [ { "id" : "ITEM-1", "itemData" : { "DOI" : "10.4065/78.8.965", "ISSN" : "00256196", "PMID" : "12911045", "abstract" : "Foods with plant stanol or sterol esters lower serum cholesterol levels. We summarize the deliberations of 32 experts on the efficacy and safety of sterols and stanols. A meta-analysis of 41 trials showed that intake of 2 g/d of stanols or sterols reduced low-density lipoprotein (LDL) by 10%; higher intakes added little. Efficacy is similar for sterols and stanols, but the food form may substantially affect LDL reduction. Effects are additive with diet or drug interventions: eating foods low in saturated fat and cholesterol and high in stanols or sterols can reduce LDL by 20%; adding sterols or stanols to statin medication is more effective than doubling the statin dose. A meta-analysis of 10 to 15 trials per vitamin showed that plasma levels of vitamins A and D are not affected by stanols or sterols. Alpha carotene, lycopene, and vitamin E levels remained stable relative to their carrier molecule, LDL. Beta carotene levels declined, but adverse health outcomes were not expected. Sterol-enriched foods increased plasma sterol levels, and workshop participants discussed whether this would increase risk, in view of the marked increase of atherosclerosis in patients with homozygous phytosterolemia. This risk is believed to be largely hypothetical, and any increase due to the small increase in plasma plant sterols may be more than offset by the decrease in plasma LDL. There are insufficient data to suggest that plant stanols or sterols either prevent or promote colon carcinogenesis. Safety of sterols and stanols is being monitored by follow-up of samples from the general population; however, the power of such studies to pick up infrequent increases in common diseases, if any exist, is limited. A trial with clinical outcomes probably would not answer remaining questions about infrequent adverse effects. Trials with surrogate end points such as intima-media thickness might corroborate the expected efficacy in reducing atherosclerosis. However, present evidence is sufficient to promote use of sterols and stanols for lowering LDL cholesterol levels in persons at increased risk for coronary heart disease.", "author" : [ { "dropping-particle" : "", "family" : "Katan", "given" : "Martijn B", "non-dropping-particle" : "", "parse-names" : false, "suffix" : "" }, { "dropping-particle" : "", "family" : "Grundy", "given" : "Scott M", "non-dropping-particle" : "", "parse-names" : false, "suffix" : "" }, { "dropping-particle" : "", "family" : "Jones", "given" : "Peter", "non-dropping-particle" : "", "parse-names" : false, "suffix" : "" }, { "dropping-particle" : "", "family" : "Law", "given" : "Malcolm", "non-dropping-particle" : "", "parse-names" : false, "suffix" : "" }, { "dropping-particle" : "", "family" : "Miettinen", "given" : "Tatu", "non-dropping-particle" : "", "parse-names" : false, "suffix" : "" }, { "dropping-particle" : "", "family" : "Paoletti", "given" : "Rodolfo", "non-dropping-particle" : "", "parse-names" : false, "suffix" : "" } ], "container-title" : "Mayo Clinic Proceedings", "id" : "ITEM-1", "issue" : "8", "issued" : { "date-parts" : [ [ "2003", "8", "1" ] ] }, "language" : "English", "page" : "965-978", "publisher" : "Elsevier", "title" : "Efficacy and Safety of Plant Stanols and Sterols in the Management of Blood Cholesterol Levels", "type" : "article-journal", "volume" : "78" }, "uris" : [ "http://www.mendeley.com/documents/?uuid=d7c1ceb3-b45a-44d6-9754-dc2ab739d62b" ] } ], "mendeley" : { "formattedCitation" : "(Katan et al. 2003)", "plainTextFormattedCitation" : "(Katan et al. 2003)", "previouslyFormattedCitation" : "(Katan et al. 2003)" }, "properties" : { "noteIndex" : 0 }, "schema" : "https://github.com/citation-style-language/schema/raw/master/csl-citation.json" }</w:instrText>
      </w:r>
      <w:r w:rsidRPr="00547FB5" w:rsidDel="00807AE7">
        <w:rPr>
          <w:rFonts w:cs="Arial"/>
          <w:lang w:val="en-GB"/>
        </w:rPr>
        <w:fldChar w:fldCharType="separate"/>
      </w:r>
      <w:r w:rsidRPr="00547FB5" w:rsidDel="00807AE7">
        <w:rPr>
          <w:rFonts w:cs="Arial"/>
          <w:noProof/>
          <w:lang w:val="en-GB"/>
        </w:rPr>
        <w:t>(Katan et al. 2003)</w:t>
      </w:r>
      <w:r w:rsidRPr="00547FB5" w:rsidDel="00807AE7">
        <w:rPr>
          <w:rFonts w:cs="Arial"/>
          <w:lang w:val="en-GB"/>
        </w:rPr>
        <w:fldChar w:fldCharType="end"/>
      </w:r>
      <w:r w:rsidRPr="00547FB5">
        <w:rPr>
          <w:rFonts w:cs="Arial"/>
          <w:lang w:val="en-GB"/>
        </w:rPr>
        <w:t xml:space="preserve"> </w:t>
      </w:r>
      <w:r w:rsidRPr="00547FB5" w:rsidDel="00807AE7">
        <w:rPr>
          <w:rFonts w:cs="Arial"/>
          <w:lang w:val="en-GB"/>
        </w:rPr>
        <w:t xml:space="preserve">of 15 studies </w:t>
      </w:r>
      <w:r w:rsidRPr="00547FB5">
        <w:rPr>
          <w:rFonts w:cs="Arial"/>
          <w:lang w:val="en-GB"/>
        </w:rPr>
        <w:t xml:space="preserve">showed that the pooled estimate for the change in circulating vitamin E concentration associated with plant sterol interventions that ranged from </w:t>
      </w:r>
      <w:r w:rsidR="007B4397">
        <w:rPr>
          <w:lang w:val="en-GB"/>
        </w:rPr>
        <w:t>0.8 to 4.2</w:t>
      </w:r>
      <w:r w:rsidRPr="00547FB5">
        <w:rPr>
          <w:lang w:val="en-GB"/>
        </w:rPr>
        <w:t xml:space="preserve"> g </w:t>
      </w:r>
      <w:r w:rsidR="0038105B">
        <w:rPr>
          <w:lang w:val="en-GB"/>
        </w:rPr>
        <w:t>total</w:t>
      </w:r>
      <w:r w:rsidRPr="00547FB5">
        <w:rPr>
          <w:lang w:val="en-GB"/>
        </w:rPr>
        <w:t xml:space="preserve"> plant sterols</w:t>
      </w:r>
      <w:r w:rsidR="007B4397">
        <w:rPr>
          <w:lang w:val="en-GB"/>
        </w:rPr>
        <w:t xml:space="preserve"> equivalents per </w:t>
      </w:r>
      <w:r w:rsidRPr="00547FB5">
        <w:rPr>
          <w:lang w:val="en-GB"/>
        </w:rPr>
        <w:t>day</w:t>
      </w:r>
      <w:r w:rsidRPr="00547FB5">
        <w:rPr>
          <w:rFonts w:cs="Arial"/>
          <w:lang w:val="en-GB"/>
        </w:rPr>
        <w:t xml:space="preserve"> and lasted for </w:t>
      </w:r>
      <w:r w:rsidRPr="00547FB5">
        <w:rPr>
          <w:lang w:val="en-GB"/>
        </w:rPr>
        <w:t>3 to 52</w:t>
      </w:r>
      <w:r w:rsidRPr="00547FB5">
        <w:rPr>
          <w:rFonts w:cs="Arial"/>
          <w:lang w:val="en-GB"/>
        </w:rPr>
        <w:t xml:space="preserve"> weeks was not significant when the changes in plasma vitamin E concentrations were adjusted for the changes in blood cholesterol concentrations. A randomised, double-blind, placebo-controlled study </w:t>
      </w:r>
      <w:r w:rsidRPr="00547FB5">
        <w:rPr>
          <w:lang w:val="en-GB" w:eastAsia="en-AU" w:bidi="ar-SA"/>
        </w:rPr>
        <w:fldChar w:fldCharType="begin" w:fldLock="1"/>
      </w:r>
      <w:r w:rsidRPr="00547FB5">
        <w:rPr>
          <w:lang w:val="en-GB" w:eastAsia="en-AU" w:bidi="ar-SA"/>
        </w:rPr>
        <w:instrText>ADDIN CSL_CITATION { "citationItems" : [ { "id" : "ITEM-1", "itemData" : { "DOI" : "10.1016/j.clnu.2009.08.005", "ISBN" : "1532-1983 (Electronic)", "ISSN" : "02615614", "PMID" : "19709787", "abstract" : "Background &amp; aims: Intake of 2-3. g/d of plant stanols as esters lowers LDL cholesterol level, but there is no information about the efficacy and safety of a respective very high daily intake. We studied the effects of 8.8. g/d of plant stanols as esters on serum lipids and safety variables in subjects with mild to moderate hypercholesterolemia. Methods: In a randomized, double-blind, placebo-controlled study the intervention (n= 25) and control (n=24) groups consumed spread and drink enriched or not with plant stanol esters for 10 weeks. Results: Plant stanols reduced serum total and LDL cholesterol concentrations by 12.8 and 17.3% from baseline and by 12.0 and 17.1% from controls (P&lt;0.01 for all). Liver enzymes, markers of hemolysis, and blood cells were unchanged. Serum vitamins A, D, and ??-tocopherol concentrations, and the ratios of ??-tocopherol to cholesterol were unchanged. Serum ??-carotene concentrations decreased significantly from baseline and were different from controls even when adjusted for cholesterol. Serum ??-carotene concentration and ??-carotene/cholesterol ratio were not different from controls. Conclusions: High intake of plant stanols reduced LDL cholesterol values without any other side effects than reduction of serum ??-carotene concentration. However, the end product, serum vitamin A levels, were unchanged. The results suggest that plant stanol ester intake can be increased to induce a greater cholesterol lowering effect. ?? 2009 Elsevier Ltd and European Society for Clinical Nutrition and Metabolism.", "author" : [ { "dropping-particle" : "", "family" : "Gylling", "given" : "Helena", "non-dropping-particle" : "", "parse-names" : false, "suffix" : "" }, { "dropping-particle" : "", "family" : "Hallikainen", "given" : "Maarit", "non-dropping-particle" : "", "parse-names" : false, "suffix" : "" }, { "dropping-particle" : "", "family" : "Nissinen", "given" : "Markku J.", "non-dropping-particle" : "", "parse-names" : false, "suffix" : "" }, { "dropping-particle" : "", "family" : "Miettinen", "given" : "Tatu A.", "non-dropping-particle" : "", "parse-names" : false, "suffix" : "" } ], "container-title" : "Clinical Nutrition", "id" : "ITEM-1", "issue" : "1", "issued" : { "date-parts" : [ [ "2010", "2" ] ] }, "page" : "112-118", "title" : "The effect of a very high daily plant stanol ester intake on serum lipids, carotenoids, and fat-soluble vitamins", "type" : "article-journal", "volume" : "29" }, "uris" : [ "http://www.mendeley.com/documents/?uuid=cb4b9a5f-9c7c-49ba-9c8c-3cb339739881" ] } ], "mendeley" : { "formattedCitation" : "(Gylling et al. 2010)", "plainTextFormattedCitation" : "(Gylling et al. 2010)", "previouslyFormattedCitation" : "(Gylling et al. 2010)" }, "properties" : { "noteIndex" : 0 }, "schema" : "https://github.com/citation-style-language/schema/raw/master/csl-citation.json" }</w:instrText>
      </w:r>
      <w:r w:rsidRPr="00547FB5">
        <w:rPr>
          <w:lang w:val="en-GB" w:eastAsia="en-AU" w:bidi="ar-SA"/>
        </w:rPr>
        <w:fldChar w:fldCharType="separate"/>
      </w:r>
      <w:r w:rsidRPr="00547FB5">
        <w:rPr>
          <w:noProof/>
          <w:lang w:val="en-GB" w:eastAsia="en-AU" w:bidi="ar-SA"/>
        </w:rPr>
        <w:t>(Gylling et al. 2010)</w:t>
      </w:r>
      <w:r w:rsidRPr="00547FB5">
        <w:rPr>
          <w:lang w:val="en-GB" w:eastAsia="en-AU" w:bidi="ar-SA"/>
        </w:rPr>
        <w:fldChar w:fldCharType="end"/>
      </w:r>
      <w:r w:rsidRPr="00547FB5">
        <w:rPr>
          <w:lang w:val="en-GB" w:eastAsia="en-AU"/>
        </w:rPr>
        <w:t xml:space="preserve"> </w:t>
      </w:r>
      <w:r w:rsidRPr="00547FB5">
        <w:rPr>
          <w:rFonts w:cs="Arial"/>
          <w:lang w:val="en-GB"/>
        </w:rPr>
        <w:t xml:space="preserve">with a parallel design in which mildly to moderately </w:t>
      </w:r>
      <w:r w:rsidR="001072B9" w:rsidRPr="00547FB5">
        <w:rPr>
          <w:rFonts w:cs="Arial"/>
          <w:lang w:val="en-GB"/>
        </w:rPr>
        <w:t>hypercholesteraemic</w:t>
      </w:r>
      <w:r w:rsidRPr="00547FB5">
        <w:rPr>
          <w:rFonts w:cs="Arial"/>
          <w:lang w:val="en-GB"/>
        </w:rPr>
        <w:t xml:space="preserve"> subjects (n = 25) received 8.</w:t>
      </w:r>
      <w:r w:rsidR="007B4397">
        <w:rPr>
          <w:rFonts w:cs="Arial"/>
          <w:lang w:val="en-GB"/>
        </w:rPr>
        <w:t>9</w:t>
      </w:r>
      <w:r w:rsidRPr="00547FB5">
        <w:rPr>
          <w:rFonts w:cs="Arial"/>
          <w:lang w:val="en-GB"/>
        </w:rPr>
        <w:t xml:space="preserve"> g of </w:t>
      </w:r>
      <w:r w:rsidR="00A44A34">
        <w:rPr>
          <w:rFonts w:cs="Arial"/>
          <w:lang w:val="en-GB"/>
        </w:rPr>
        <w:t>total plant sterol</w:t>
      </w:r>
      <w:r w:rsidR="007B4397">
        <w:rPr>
          <w:rFonts w:cs="Arial"/>
          <w:lang w:val="en-GB"/>
        </w:rPr>
        <w:t xml:space="preserve"> equivalents</w:t>
      </w:r>
      <w:r w:rsidR="00F2126A">
        <w:rPr>
          <w:rFonts w:cs="Arial"/>
          <w:lang w:val="en-GB"/>
        </w:rPr>
        <w:t>, given as plant stanol esters,</w:t>
      </w:r>
      <w:r w:rsidRPr="00547FB5">
        <w:rPr>
          <w:rFonts w:cs="Arial"/>
          <w:lang w:val="en-GB"/>
        </w:rPr>
        <w:t xml:space="preserve"> showed that the </w:t>
      </w:r>
      <w:r w:rsidRPr="00547FB5">
        <w:rPr>
          <w:rFonts w:cs="Arial"/>
          <w:lang w:val="en-GB"/>
        </w:rPr>
        <w:sym w:font="Symbol" w:char="F067"/>
      </w:r>
      <w:r w:rsidRPr="00547FB5">
        <w:rPr>
          <w:rFonts w:cs="Arial"/>
          <w:lang w:val="en-GB"/>
        </w:rPr>
        <w:t>-tocopherol serum concentration did not change both within the intervention group and between the groups over the ten-week trial. Interestingly, the more lipophilic α congener significantly (p &lt;0.05) decreased (16%) within the intervention group and also significantly (p &lt; 0.05) differed (6 μM) from the control group (n = 24)</w:t>
      </w:r>
      <w:r>
        <w:rPr>
          <w:rFonts w:cs="Arial"/>
          <w:lang w:val="en-GB"/>
        </w:rPr>
        <w:t xml:space="preserve">. </w:t>
      </w:r>
      <w:r w:rsidRPr="00962376">
        <w:rPr>
          <w:rFonts w:cs="Arial"/>
          <w:lang w:val="en-GB"/>
        </w:rPr>
        <w:t>The within group decrease and between group difference was not significant after adjusting the α-tocopherol concentrations for blood total cholesterol concentrations</w:t>
      </w:r>
      <w:r>
        <w:rPr>
          <w:rFonts w:cs="Arial"/>
          <w:lang w:val="en-GB"/>
        </w:rPr>
        <w:t xml:space="preserve">. </w:t>
      </w:r>
      <w:r w:rsidRPr="00962376">
        <w:rPr>
          <w:rFonts w:cs="Arial"/>
          <w:lang w:val="en-GB"/>
        </w:rPr>
        <w:t>The mean α-tocopherol concentration in the intervention group after ten-weeks was 34.86 ± 1.14 μM</w:t>
      </w:r>
      <w:r>
        <w:rPr>
          <w:rFonts w:cs="Arial"/>
          <w:lang w:val="en-GB"/>
        </w:rPr>
        <w:t xml:space="preserve">. </w:t>
      </w:r>
      <w:r w:rsidRPr="00962376">
        <w:rPr>
          <w:rFonts w:cs="Arial"/>
          <w:lang w:val="en-GB"/>
        </w:rPr>
        <w:t xml:space="preserve">The median, arithmetic and geometric mean (± SEM) concentrations derived from 4087 adults who participated in the 1999-2000 National Health and Nutrition Examination Survey </w:t>
      </w:r>
      <w:r w:rsidR="005255DA">
        <w:rPr>
          <w:rFonts w:cs="Arial"/>
          <w:lang w:val="en-GB"/>
        </w:rPr>
        <w:t>we</w:t>
      </w:r>
      <w:r w:rsidRPr="00962376">
        <w:rPr>
          <w:rFonts w:cs="Arial"/>
          <w:lang w:val="en-GB"/>
        </w:rPr>
        <w:t xml:space="preserve">re 25.94, 30.09 ± 0.45, and 27.39 ± 0.38 μM, respectively </w:t>
      </w:r>
      <w:r w:rsidRPr="00962376">
        <w:rPr>
          <w:rFonts w:cs="Arial"/>
          <w:lang w:val="en-GB"/>
        </w:rPr>
        <w:fldChar w:fldCharType="begin" w:fldLock="1"/>
      </w:r>
      <w:r w:rsidRPr="00962376">
        <w:rPr>
          <w:rFonts w:cs="Arial"/>
          <w:lang w:val="en-GB"/>
        </w:rPr>
        <w:instrText>ADDIN CSL_CITATION { "citationItems" : [ { "id" : "ITEM-1", "itemData" : { "DOI" : "84/2/375 [pii]", "ISBN" : "0002-9165 (Print)", "ISSN" : "0002-9165", "PMID" : "16895886", "abstract" : "BACKGROUND: Although the population distribution of serum concentrations of alpha-tocopherol has been described in the United States, little is known about the distribution of gamma-tocopherol or the ratio of alpha-tocopherol to gamma-tocopherol. OBJECTIVE: Our aim was to describe the distribution of serum concentrations of alpha-tocopherol and gamma-tocopherol in a nationally representative sample of US adults. DESIGN: We reviewed data from 4087 adults aged &gt;/=20 y who participated in the National Health and Nutrition Examination Survey (1999-2000). Concentrations of alpha-tocopherol and gamma-tocopherol were measured by using HPLC with ultraviolet-visible wavelength detection. RESULTS: The arithmetic mean (+/-SEM) of serum concentrations of alpha-tocopherol was 30.09 +/- 0.45 micromol/L, the median was 25.94 micromol/L, and the geometric mean (+/-SEM) was 27.39 +/- 0.38 micromol/L. The arithmetic mean of serum concentrations of gamma-tocopherol was 5.74 +/- 0.22 micromol/L, the median was 5.25 micromol/L, and the geometric mean was 4.79 +/- 0.18 micromol/L. The median ratio of alpha-tocopherol to total cholesterol was 4.93 micromol/mmol, that of gamma-tocopherol to total cholesterol was 1.03 micromol/mmol, and that of alpha-tocopherol to gamma-tocopherol was 4.53 micromol/mmol. Concentrations of alpha-tocopherol increased significantly (P for trend &lt; 0.001) with age and were significantly (P = 0.015) lower in men than in women. African Americans and Mexican Americans had significantly (P &lt; 0.001) lower concentrations of alpha-tocopherol than did whites. The median concentrations of gamma-tocopherol showed a trend with respect to age, did not differ significantly between men and women, and were slightly but nonsignificantly lower in white participants than in African American or Mexican American participants. CONCLUSION: Sociodemographic variations in serum concentrations of alpha-tocopherol and gamma-tocopherol exist among US adults.", "author" : [ { "dropping-particle" : "", "family" : "Ford", "given" : "Earl S", "non-dropping-particle" : "", "parse-names" : false, "suffix" : "" }, { "dropping-particle" : "", "family" : "Schleicher", "given" : "Rosemary L", "non-dropping-particle" : "", "parse-names" : false, "suffix" : "" }, { "dropping-particle" : "", "family" : "Mokdad", "given" : "Ali H", "non-dropping-particle" : "", "parse-names" : false, "suffix" : "" }, { "dropping-particle" : "", "family" : "Ajani", "given" : "Umed a", "non-dropping-particle" : "", "parse-names" : false, "suffix" : "" }, { "dropping-particle" : "", "family" : "Liu", "given" : "Simin", "non-dropping-particle" : "", "parse-names" : false, "suffix" : "" } ], "container-title" : "American Journal of Clinical Nutrition", "id" : "ITEM-1", "issue" : "2", "issued" : { "date-parts" : [ [ "2006" ] ] }, "page" : "375-383", "title" : "Distribution of serum concentrations of alpha-tocopherol and gamma-tocopherol in the US population.", "type" : "article-journal", "volume" : "84" }, "uris" : [ "http://www.mendeley.com/documents/?uuid=09047bf6-e8c7-4953-834e-070303772dff" ] } ], "mendeley" : { "formattedCitation" : "(Ford et al. 2006)", "plainTextFormattedCitation" : "(Ford et al. 2006)", "previouslyFormattedCitation" : "(Ford et al. 2006)" }, "properties" : { "noteIndex" : 0 }, "schema" : "https://github.com/citation-style-language/schema/raw/master/csl-citation.json" }</w:instrText>
      </w:r>
      <w:r w:rsidRPr="00962376">
        <w:rPr>
          <w:rFonts w:cs="Arial"/>
          <w:lang w:val="en-GB"/>
        </w:rPr>
        <w:fldChar w:fldCharType="separate"/>
      </w:r>
      <w:r w:rsidRPr="00962376">
        <w:rPr>
          <w:rFonts w:cs="Arial"/>
          <w:noProof/>
          <w:lang w:val="en-GB"/>
        </w:rPr>
        <w:t>(Ford et al. 2006)</w:t>
      </w:r>
      <w:r w:rsidRPr="00962376">
        <w:rPr>
          <w:rFonts w:cs="Arial"/>
          <w:lang w:val="en-GB"/>
        </w:rPr>
        <w:fldChar w:fldCharType="end"/>
      </w:r>
      <w:r w:rsidRPr="00962376">
        <w:rPr>
          <w:rFonts w:cs="Arial"/>
          <w:lang w:val="en-GB"/>
        </w:rPr>
        <w:t xml:space="preserve">. It is also worth noting that the results of an eight week double-blind, placebo controlled randomised trial </w:t>
      </w:r>
      <w:r w:rsidRPr="00962376">
        <w:rPr>
          <w:rFonts w:cs="Arial"/>
          <w:lang w:val="en-GB"/>
        </w:rPr>
        <w:fldChar w:fldCharType="begin" w:fldLock="1"/>
      </w:r>
      <w:r w:rsidRPr="00962376">
        <w:rPr>
          <w:rFonts w:cs="Arial"/>
          <w:lang w:val="en-GB"/>
        </w:rPr>
        <w:instrText>ADDIN CSL_CITATION { "citationItems" : [ { "id" : "ITEM-1",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"ITEM-1",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"(Davidson et al. 2001)", "plainTextFormattedCitation" : "(Davidson et al. 2001)", "previouslyFormattedCitation" : "(Davidson et al. 2001)" }, "properties" : { "noteIndex" : 0 }, "schema" : "https://github.com/citation-style-language/schema/raw/master/csl-citation.json" }</w:instrText>
      </w:r>
      <w:r w:rsidRPr="00962376">
        <w:rPr>
          <w:rFonts w:cs="Arial"/>
          <w:lang w:val="en-GB"/>
        </w:rPr>
        <w:fldChar w:fldCharType="separate"/>
      </w:r>
      <w:r w:rsidRPr="00962376">
        <w:rPr>
          <w:rFonts w:cs="Arial"/>
          <w:noProof/>
          <w:lang w:val="en-GB"/>
        </w:rPr>
        <w:t>(Davidson et al. 2001)</w:t>
      </w:r>
      <w:r w:rsidRPr="00962376">
        <w:rPr>
          <w:rFonts w:cs="Arial"/>
          <w:lang w:val="en-GB"/>
        </w:rPr>
        <w:fldChar w:fldCharType="end"/>
      </w:r>
      <w:r w:rsidRPr="00962376">
        <w:rPr>
          <w:rStyle w:val="CommentReference"/>
          <w:lang w:val="en-GB"/>
        </w:rPr>
        <w:t xml:space="preserve"> </w:t>
      </w:r>
      <w:r w:rsidRPr="00962376">
        <w:rPr>
          <w:rFonts w:cs="Arial"/>
          <w:lang w:val="en-GB"/>
        </w:rPr>
        <w:t xml:space="preserve">in which healthy subjects received 3 (n = 21), 6 (n = 21), and 9 (n = 23) g/day of </w:t>
      </w:r>
      <w:r w:rsidR="007B4397">
        <w:rPr>
          <w:rFonts w:cs="Arial"/>
          <w:lang w:val="en-GB"/>
        </w:rPr>
        <w:t xml:space="preserve">total </w:t>
      </w:r>
      <w:r w:rsidR="00A44A34">
        <w:rPr>
          <w:rFonts w:cs="Arial"/>
          <w:lang w:val="en-GB"/>
        </w:rPr>
        <w:t>plant sterol</w:t>
      </w:r>
      <w:r w:rsidRPr="00962376">
        <w:rPr>
          <w:rFonts w:cs="Arial"/>
          <w:lang w:val="en-GB"/>
        </w:rPr>
        <w:t xml:space="preserve"> </w:t>
      </w:r>
      <w:r w:rsidR="007B4397">
        <w:rPr>
          <w:rFonts w:cs="Arial"/>
          <w:lang w:val="en-GB"/>
        </w:rPr>
        <w:t xml:space="preserve">equivalents </w:t>
      </w:r>
      <w:r w:rsidRPr="00962376">
        <w:rPr>
          <w:rFonts w:cs="Arial"/>
          <w:lang w:val="en-GB"/>
        </w:rPr>
        <w:t>showed that the unadjusted group mean plasma vitamin E concentrations of the subjects in the three intervention arms were not statically different to the unadjusted mean value of the control group (n = 21).</w:t>
      </w:r>
    </w:p>
    <w:p w14:paraId="7E968DFD" w14:textId="77777777" w:rsidR="0051780C" w:rsidRPr="00962376" w:rsidRDefault="0051780C" w:rsidP="0051780C">
      <w:pPr>
        <w:rPr>
          <w:rFonts w:cs="Arial"/>
          <w:lang w:val="en-GB"/>
        </w:rPr>
      </w:pPr>
      <w:r w:rsidRPr="00962376">
        <w:rPr>
          <w:rFonts w:cs="Arial"/>
          <w:lang w:val="en-GB"/>
        </w:rPr>
        <w:t xml:space="preserve">   </w:t>
      </w:r>
    </w:p>
    <w:p w14:paraId="70D22043" w14:textId="6BC43E70" w:rsidR="0051780C" w:rsidRPr="00962376" w:rsidRDefault="0051780C" w:rsidP="007B4397">
      <w:pPr>
        <w:autoSpaceDE w:val="0"/>
        <w:autoSpaceDN w:val="0"/>
        <w:adjustRightInd w:val="0"/>
        <w:rPr>
          <w:rFonts w:cs="Arial"/>
          <w:bCs/>
          <w:szCs w:val="22"/>
          <w:lang w:val="en-GB"/>
        </w:rPr>
      </w:pPr>
      <w:r w:rsidRPr="00962376">
        <w:rPr>
          <w:lang w:val="en-GB" w:eastAsia="en-AU" w:bidi="ar-SA"/>
        </w:rPr>
        <w:t>A fifty-two week randomised double-blind placebo-controlled parallel trial in which subjects received 1.6 g per day of esterified phytosterols revealed that the concentrations of the vitamin D</w:t>
      </w:r>
      <w:r w:rsidRPr="00962376">
        <w:rPr>
          <w:vertAlign w:val="subscript"/>
          <w:lang w:val="en-GB" w:eastAsia="en-AU" w:bidi="ar-SA"/>
        </w:rPr>
        <w:t>3</w:t>
      </w:r>
      <w:r w:rsidRPr="00962376">
        <w:rPr>
          <w:lang w:val="en-GB" w:eastAsia="en-AU" w:bidi="ar-SA"/>
        </w:rPr>
        <w:t xml:space="preserve"> metabolite 25-hydroxy vitamin D</w:t>
      </w:r>
      <w:r w:rsidRPr="00962376">
        <w:rPr>
          <w:vertAlign w:val="subscript"/>
          <w:lang w:val="en-GB" w:eastAsia="en-AU" w:bidi="ar-SA"/>
        </w:rPr>
        <w:t>3</w:t>
      </w:r>
      <w:r w:rsidRPr="00962376">
        <w:rPr>
          <w:lang w:val="en-GB" w:eastAsia="en-AU" w:bidi="ar-SA"/>
        </w:rPr>
        <w:t xml:space="preserve"> did not significantly differ at any time points within the intervention group </w:t>
      </w:r>
      <w:r w:rsidRPr="00962376">
        <w:rPr>
          <w:lang w:val="en-GB" w:eastAsia="en-AU" w:bidi="ar-SA"/>
        </w:rPr>
        <w:fldChar w:fldCharType="begin" w:fldLock="1"/>
      </w:r>
      <w:r w:rsidRPr="00962376">
        <w:rPr>
          <w:lang w:val="en-GB" w:eastAsia="en-AU" w:bidi="ar-SA"/>
        </w:rPr>
        <w:instrText>ADDIN CSL_CITATION { "citationItems" : [ { "id" : "ITEM-1", "itemData" : { "DOI" : "10.1038/sj.ejcn.1601598", "ISSN" : "09543007", "PMID" : "12771969", "abstract" : "OBJECTIVE: To evaluate both efficacy and safety in humans of long-term consumption of spreads containing plant sterol esters. DESIGN: Randomized double-blind placebo-controlled parallel trial. SUBJECTS:: Hundred and eighty-five healthy volunteers (35-64 y). INTERVENTION: Volunteers daily consumed 20 g spread enriched with 1.6 g plant sterols as fatty acid esters or a control spread for 1 y. They continued their habitual diet and lifestyle. Outcome measures included efficacy markers such as total and LDL-cholesterol, a large range of safety parameters, and reporting of adverse events. RESULTS: Consumption of the plant sterol ester-enriched spread consistently lowered total and LDL cholesterol during the 1 y period on average by 4 and 6%, respectively (0.01 &lt; P &lt; 0.05). Plant sterols intake did on average not result in a lower carotenoid concentration (when expressed per LDL-cholesterol) after 52 weeks (P&gt;0.05). However, carotenoid concentrations changed over time. Plant sterols intake reduced lipid adjusted alpha- and beta-carotene-concentrations by only 15-25% after 1 y, relative to control. Lipid-adjusted fat-soluble vitamin concentrations remained unchanged. Plant sterol concentrations in serum were increased from 2.76 to 5.31 ( micro mol/mmol total cholesterol) for campesterol (P&lt;0.0001) and from 1.86 to 2.47 ( micro mol/mmol total cholesterol) for beta-sitosterol (P&lt;0.0001). The increase in total plant sterol concentration in red blood cells (5.29-9.62 micro g/g) did not affect red blood cell deformability. Hormone levels in males (free and total testosterone) and females (luteinizing hormone, follicle stimulating hormone, beta-estradiol and progesterone) as well as all clinical chemical and hematological parameters measured were unaffected. Adverse events reported were not different between subjects consuming control spread and subjects consuming plant sterol esters-enriched spread. CONCLUSION: Consumption of a plant sterol esters-enriched spread is an effective way to consistently lower blood cholesterol concentrations and is safe to use over a long period of time.", "author" : [ { "dropping-particle" : "", "family" : "Hendriks", "given" : "H F J", "non-dropping-particle" : "", "parse-names" : false, "suffix" : "" }, { "dropping-particle" : "", "family" : "Brink", "given" : "E J", "non-dropping-particle" : "", "parse-names" : false, "suffix" : "" }, { "dropping-particle" : "", "family" : "Meijer", "given" : "G W", "non-dropping-particle" : "", "parse-names" : false, "suffix" : "" }, { "dropping-particle" : "", "family" : "Princen", "given" : "H M G", "non-dropping-particle" : "", "parse-names" : false, "suffix" : "" }, { "dropping-particle" : "", "family" : "Ntanios", "given" : "F Y", "non-dropping-particle" : "", "parse-names" : false, "suffix" : "" } ], "container-title" : "European journal of clinical nutrition", "id" : "ITEM-1", "issue" : "5", "issued" : { "date-parts" : [ [ "2003" ] ] }, "page" : "681-692", "title" : "Safety of long-term consumption of plant sterol esters-enriched spread.", "type" : "article-journal", "volume" : "57" }, "uris" : [ "http://www.mendeley.com/documents/?uuid=61030537-faeb-42a6-ab0e-ac6b1deede94" ] } ], "mendeley" : { "formattedCitation" : "(Hendriks et al. 2003)", "plainTextFormattedCitation" : "(Hendriks et al. 2003)", "previouslyFormattedCitation" : "(Hendriks et al. 2003)"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(Hendriks et al. 2003)</w:t>
      </w:r>
      <w:r w:rsidRPr="00962376">
        <w:rPr>
          <w:lang w:val="en-GB" w:eastAsia="en-AU" w:bidi="ar-SA"/>
        </w:rPr>
        <w:fldChar w:fldCharType="end"/>
      </w:r>
      <w:r w:rsidRPr="00962376">
        <w:rPr>
          <w:lang w:val="en-GB" w:eastAsia="en-AU" w:bidi="ar-SA"/>
        </w:rPr>
        <w:t>. However, the differences from baseline at 26 weeks and at the end of the trial at 52 weeks were statistically significant when compared with the respective differences for the control group. The mean relative changes in 25-hydroxy vitamin D</w:t>
      </w:r>
      <w:r w:rsidRPr="00962376">
        <w:rPr>
          <w:vertAlign w:val="subscript"/>
          <w:lang w:val="en-GB" w:eastAsia="en-AU" w:bidi="ar-SA"/>
        </w:rPr>
        <w:t>3</w:t>
      </w:r>
      <w:r w:rsidRPr="00962376">
        <w:rPr>
          <w:lang w:val="en-GB" w:eastAsia="en-AU" w:bidi="ar-SA"/>
        </w:rPr>
        <w:t xml:space="preserve"> from the group baseline concentration (82 </w:t>
      </w:r>
      <w:r w:rsidRPr="00962376">
        <w:rPr>
          <w:rFonts w:cs="Arial"/>
          <w:lang w:val="en-GB" w:eastAsia="en-AU" w:bidi="ar-SA"/>
        </w:rPr>
        <w:t>±</w:t>
      </w:r>
      <w:r w:rsidRPr="00962376">
        <w:rPr>
          <w:lang w:val="en-GB" w:eastAsia="en-AU" w:bidi="ar-SA"/>
        </w:rPr>
        <w:t xml:space="preserve"> 21 nM) for the subjects in the intervention arm of the trial were reductions of 17% at twenty-six weeks and 4% at the end of the trial whereas the mean relative changes from the baseline concentration in the control group (80 </w:t>
      </w:r>
      <w:r w:rsidRPr="00962376">
        <w:rPr>
          <w:rFonts w:cs="Arial"/>
          <w:lang w:val="en-GB" w:eastAsia="en-AU" w:bidi="ar-SA"/>
        </w:rPr>
        <w:t>±</w:t>
      </w:r>
      <w:r w:rsidRPr="00962376">
        <w:rPr>
          <w:lang w:val="en-GB" w:eastAsia="en-AU" w:bidi="ar-SA"/>
        </w:rPr>
        <w:t xml:space="preserve"> 26 nM) was a reduction of 8% at twenty-six weeks and an increase of 3% at the end of the trial </w:t>
      </w:r>
      <w:r w:rsidRPr="00962376">
        <w:rPr>
          <w:lang w:val="en-GB" w:eastAsia="en-AU" w:bidi="ar-SA"/>
        </w:rPr>
        <w:fldChar w:fldCharType="begin" w:fldLock="1"/>
      </w:r>
      <w:r w:rsidRPr="00962376">
        <w:rPr>
          <w:lang w:val="en-GB" w:eastAsia="en-AU" w:bidi="ar-SA"/>
        </w:rPr>
        <w:instrText>ADDIN CSL_CITATION { "citationItems" : [ { "id" : "ITEM-1", "itemData" : { "DOI" : "10.1038/sj.ejcn.1601598", "ISSN" : "09543007", "PMID" : "12771969", "abstract" : "OBJECTIVE: To evaluate both efficacy and safety in humans of long-term consumption of spreads containing plant sterol esters. DESIGN: Randomized double-blind placebo-controlled parallel trial. SUBJECTS:: Hundred and eighty-five healthy volunteers (35-64 y). INTERVENTION: Volunteers daily consumed 20 g spread enriched with 1.6 g plant sterols as fatty acid esters or a control spread for 1 y. They continued their habitual diet and lifestyle. Outcome measures included efficacy markers such as total and LDL-cholesterol, a large range of safety parameters, and reporting of adverse events. RESULTS: Consumption of the plant sterol ester-enriched spread consistently lowered total and LDL cholesterol during the 1 y period on average by 4 and 6%, respectively (0.01 &lt; P &lt; 0.05). Plant sterols intake did on average not result in a lower carotenoid concentration (when expressed per LDL-cholesterol) after 52 weeks (P&gt;0.05). However, carotenoid concentrations changed over time. Plant sterols intake reduced lipid adjusted alpha- and beta-carotene-concentrations by only 15-25% after 1 y, relative to control. Lipid-adjusted fat-soluble vitamin concentrations remained unchanged. Plant sterol concentrations in serum were increased from 2.76 to 5.31 ( micro mol/mmol total cholesterol) for campesterol (P&lt;0.0001) and from 1.86 to 2.47 ( micro mol/mmol total cholesterol) for beta-sitosterol (P&lt;0.0001). The increase in total plant sterol concentration in red blood cells (5.29-9.62 micro g/g) did not affect red blood cell deformability. Hormone levels in males (free and total testosterone) and females (luteinizing hormone, follicle stimulating hormone, beta-estradiol and progesterone) as well as all clinical chemical and hematological parameters measured were unaffected. Adverse events reported were not different between subjects consuming control spread and subjects consuming plant sterol esters-enriched spread. CONCLUSION: Consumption of a plant sterol esters-enriched spread is an effective way to consistently lower blood cholesterol concentrations and is safe to use over a long period of time.", "author" : [ { "dropping-particle" : "", "family" : "Hendriks", "given" : "H F J", "non-dropping-particle" : "", "parse-names" : false, "suffix" : "" }, { "dropping-particle" : "", "family" : "Brink", "given" : "E J", "non-dropping-particle" : "", "parse-names" : false, "suffix" : "" }, { "dropping-particle" : "", "family" : "Meijer", "given" : "G W", "non-dropping-particle" : "", "parse-names" : false, "suffix" : "" }, { "dropping-particle" : "", "family" : "Princen", "given" : "H M G", "non-dropping-particle" : "", "parse-names" : false, "suffix" : "" }, { "dropping-particle" : "", "family" : "Ntanios", "given" : "F Y", "non-dropping-particle" : "", "parse-names" : false, "suffix" : "" } ], "container-title" : "European journal of clinical nutrition", "id" : "ITEM-1", "issue" : "5", "issued" : { "date-parts" : [ [ "2003" ] ] }, "page" : "681-692", "title" : "Safety of long-term consumption of plant sterol esters-enriched spread.", "type" : "article-journal", "volume" : "57" }, "uris" : [ "http://www.mendeley.com/documents/?uuid=61030537-faeb-42a6-ab0e-ac6b1deede94" ] } ], "mendeley" : { "formattedCitation" : "(Hendriks et al. 2003)", "plainTextFormattedCitation" : "(Hendriks et al. 2003)", "previouslyFormattedCitation" : "(Hendriks et al. 2003)"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(Hendriks et al. 2003)</w:t>
      </w:r>
      <w:r w:rsidRPr="00962376">
        <w:rPr>
          <w:lang w:val="en-GB" w:eastAsia="en-AU" w:bidi="ar-SA"/>
        </w:rPr>
        <w:fldChar w:fldCharType="end"/>
      </w:r>
      <w:r w:rsidRPr="00962376">
        <w:rPr>
          <w:lang w:val="en-GB" w:eastAsia="en-AU" w:bidi="ar-SA"/>
        </w:rPr>
        <w:t>. Nonetheless, a significant reduction in 25-hydroxy vitamin D</w:t>
      </w:r>
      <w:r w:rsidRPr="00962376">
        <w:rPr>
          <w:vertAlign w:val="subscript"/>
          <w:lang w:val="en-GB" w:eastAsia="en-AU" w:bidi="ar-SA"/>
        </w:rPr>
        <w:t xml:space="preserve">3  </w:t>
      </w:r>
      <w:r w:rsidRPr="00962376">
        <w:rPr>
          <w:lang w:val="en-GB" w:eastAsia="en-AU" w:bidi="ar-SA"/>
        </w:rPr>
        <w:t>was not observed following</w:t>
      </w:r>
      <w:r w:rsidR="007B4397">
        <w:rPr>
          <w:lang w:val="en-GB" w:eastAsia="en-AU" w:bidi="ar-SA"/>
        </w:rPr>
        <w:t xml:space="preserve"> a daily dietary exposure of 8.9</w:t>
      </w:r>
      <w:r w:rsidRPr="00962376">
        <w:rPr>
          <w:lang w:val="en-GB" w:eastAsia="en-AU" w:bidi="ar-SA"/>
        </w:rPr>
        <w:t xml:space="preserve"> g of </w:t>
      </w:r>
      <w:r w:rsidR="00A44A34">
        <w:rPr>
          <w:rFonts w:cs="Arial"/>
          <w:lang w:val="en-GB"/>
        </w:rPr>
        <w:t>total plant sterol</w:t>
      </w:r>
      <w:r w:rsidR="007B4397">
        <w:rPr>
          <w:rFonts w:cs="Arial"/>
          <w:lang w:val="en-GB"/>
        </w:rPr>
        <w:t xml:space="preserve"> equivalents</w:t>
      </w:r>
      <w:r w:rsidRPr="00962376">
        <w:rPr>
          <w:lang w:val="en-GB" w:eastAsia="en-AU" w:bidi="ar-SA"/>
        </w:rPr>
        <w:t xml:space="preserve"> for 10 weeks in a randomised, double-blind, placebo-controlled study </w:t>
      </w:r>
      <w:r w:rsidRPr="00962376">
        <w:rPr>
          <w:lang w:val="en-GB" w:eastAsia="en-AU" w:bidi="ar-SA"/>
        </w:rPr>
        <w:fldChar w:fldCharType="begin" w:fldLock="1"/>
      </w:r>
      <w:r w:rsidRPr="00962376">
        <w:rPr>
          <w:lang w:val="en-GB" w:eastAsia="en-AU" w:bidi="ar-SA"/>
        </w:rPr>
        <w:instrText>ADDIN CSL_CITATION { "citationItems" : [ { "id" : "ITEM-1", "itemData" : { "DOI" : "10.1016/j.clnu.2009.08.005", "ISBN" : "1532-1983 (Electronic)", "ISSN" : "02615614", "PMID" : "19709787", "abstract" : "Background &amp; aims: Intake of 2-3. g/d of plant stanols as esters lowers LDL cholesterol level, but there is no information about the efficacy and safety of a respective very high daily intake. We studied the effects of 8.8. g/d of plant stanols as esters on serum lipids and safety variables in subjects with mild to moderate hypercholesterolemia. Methods: In a randomized, double-blind, placebo-controlled study the intervention (n= 25) and control (n=24) groups consumed spread and drink enriched or not with plant stanol esters for 10 weeks. Results: Plant stanols reduced serum total and LDL cholesterol concentrations by 12.8 and 17.3% from baseline and by 12.0 and 17.1% from controls (P&lt;0.01 for all). Liver enzymes, markers of hemolysis, and blood cells were unchanged. Serum vitamins A, D, and ??-tocopherol concentrations, and the ratios of ??-tocopherol to cholesterol were unchanged. Serum ??-carotene concentrations decreased significantly from baseline and were different from controls even when adjusted for cholesterol. Serum ??-carotene concentration and ??-carotene/cholesterol ratio were not different from controls. Conclusions: High intake of plant stanols reduced LDL cholesterol values without any other side effects than reduction of serum ??-carotene concentration. However, the end product, serum vitamin A levels, were unchanged. The results suggest that plant stanol ester intake can be increased to induce a greater cholesterol lowering effect. ?? 2009 Elsevier Ltd and European Society for Clinical Nutrition and Metabolism.", "author" : [ { "dropping-particle" : "", "family" : "Gylling", "given" : "Helena", "non-dropping-particle" : "", "parse-names" : false, "suffix" : "" }, { "dropping-particle" : "", "family" : "Hallikainen", "given" : "Maarit", "non-dropping-particle" : "", "parse-names" : false, "suffix" : "" }, { "dropping-particle" : "", "family" : "Nissinen", "given" : "Markku J.", "non-dropping-particle" : "", "parse-names" : false, "suffix" : "" }, { "dropping-particle" : "", "family" : "Miettinen", "given" : "Tatu A.", "non-dropping-particle" : "", "parse-names" : false, "suffix" : "" } ], "container-title" : "Clinical Nutrition", "id" : "ITEM-1", "issue" : "1", "issued" : { "date-parts" : [ [ "2010", "2" ] ] }, "page" : "112-118", "title" : "The effect of a very high daily plant stanol ester intake on serum lipids, carotenoids, and fat-soluble vitamins", "type" : "article-journal", "volume" : "29" }, "uris" : [ "http://www.mendeley.com/documents/?uuid=cb4b9a5f-9c7c-49ba-9c8c-3cb339739881" ] } ], "mendeley" : { "formattedCitation" : "(Gylling et al. 2010)", "plainTextFormattedCitation" : "(Gylling et al. 2010)", "previouslyFormattedCitation" : "(Gylling et al. 2010)"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(Gylling et al. 2010)</w:t>
      </w:r>
      <w:r w:rsidRPr="00962376">
        <w:rPr>
          <w:lang w:val="en-GB" w:eastAsia="en-AU" w:bidi="ar-SA"/>
        </w:rPr>
        <w:fldChar w:fldCharType="end"/>
      </w:r>
      <w:r w:rsidRPr="00962376">
        <w:rPr>
          <w:lang w:val="en-GB" w:eastAsia="en-AU" w:bidi="ar-SA"/>
        </w:rPr>
        <w:t xml:space="preserve">. Similarly, a randomised, double-blind, controlled study that delivered 0, 3, 6 and 9 g of </w:t>
      </w:r>
      <w:r w:rsidR="00A44A34">
        <w:rPr>
          <w:rFonts w:cs="Arial"/>
          <w:lang w:val="en-GB"/>
        </w:rPr>
        <w:t>total plant sterol</w:t>
      </w:r>
      <w:r w:rsidR="007B4397">
        <w:rPr>
          <w:rFonts w:cs="Arial"/>
          <w:lang w:val="en-GB"/>
        </w:rPr>
        <w:t xml:space="preserve"> equivalents</w:t>
      </w:r>
      <w:r w:rsidRPr="00962376">
        <w:rPr>
          <w:lang w:val="en-GB" w:eastAsia="en-AU" w:bidi="ar-SA"/>
        </w:rPr>
        <w:t xml:space="preserve"> per day in parallel arms to healthy subjects for 8 weeks did not show significant reductions in 25-hydroxy vitamin D</w:t>
      </w:r>
      <w:r w:rsidRPr="00962376">
        <w:rPr>
          <w:vertAlign w:val="subscript"/>
          <w:lang w:val="en-GB" w:eastAsia="en-AU" w:bidi="ar-SA"/>
        </w:rPr>
        <w:t xml:space="preserve">3  </w:t>
      </w:r>
      <w:r w:rsidRPr="00962376">
        <w:rPr>
          <w:lang w:val="en-GB" w:eastAsia="en-AU" w:bidi="ar-SA"/>
        </w:rPr>
        <w:t xml:space="preserve">at week 4 or at the end of the trial in the intervention groups compared with their baseline </w:t>
      </w:r>
      <w:r w:rsidRPr="00962376">
        <w:rPr>
          <w:lang w:val="en-GB" w:eastAsia="en-AU" w:bidi="ar-SA"/>
        </w:rPr>
        <w:fldChar w:fldCharType="begin" w:fldLock="1"/>
      </w:r>
      <w:r w:rsidRPr="00962376">
        <w:rPr>
          <w:lang w:val="en-GB" w:eastAsia="en-AU" w:bidi="ar-SA"/>
        </w:rPr>
        <w:instrText>ADDIN CSL_CITATION { "citationItems" : [ { "id" : "ITEM-1",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"ITEM-1",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"(Davidson et al. 2001)", "plainTextFormattedCitation" : "(Davidson et al. 2001)", "previouslyFormattedCitation" : "(Davidson et al. 2001)"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(Davidson et al. 2001)</w:t>
      </w:r>
      <w:r w:rsidRPr="00962376">
        <w:rPr>
          <w:lang w:val="en-GB" w:eastAsia="en-AU" w:bidi="ar-SA"/>
        </w:rPr>
        <w:fldChar w:fldCharType="end"/>
      </w:r>
      <w:r w:rsidRPr="00962376">
        <w:rPr>
          <w:lang w:val="en-GB" w:eastAsia="en-AU" w:bidi="ar-SA"/>
        </w:rPr>
        <w:t>. Therefore, there is no dose-response relationship between the dietary exposure to plant sterols and 25-hydroxy vitamin D</w:t>
      </w:r>
      <w:r w:rsidRPr="00962376">
        <w:rPr>
          <w:vertAlign w:val="subscript"/>
          <w:lang w:val="en-GB" w:eastAsia="en-AU" w:bidi="ar-SA"/>
        </w:rPr>
        <w:t>3</w:t>
      </w:r>
      <w:r w:rsidRPr="00962376">
        <w:rPr>
          <w:lang w:val="en-GB" w:eastAsia="en-AU" w:bidi="ar-SA"/>
        </w:rPr>
        <w:t xml:space="preserve"> and the observations made by </w:t>
      </w:r>
      <w:r w:rsidRPr="00962376">
        <w:rPr>
          <w:noProof/>
          <w:lang w:val="en-GB" w:eastAsia="en-AU" w:bidi="ar-SA"/>
        </w:rPr>
        <w:t>Hendriks et al.</w:t>
      </w:r>
      <w:r w:rsidRPr="00962376">
        <w:rPr>
          <w:lang w:val="en-GB" w:eastAsia="en-AU" w:bidi="ar-SA"/>
        </w:rPr>
        <w:t xml:space="preserve"> </w:t>
      </w:r>
      <w:r w:rsidRPr="00962376">
        <w:rPr>
          <w:lang w:val="en-GB" w:eastAsia="en-AU" w:bidi="ar-SA"/>
        </w:rPr>
        <w:fldChar w:fldCharType="begin" w:fldLock="1"/>
      </w:r>
      <w:r w:rsidRPr="00962376">
        <w:rPr>
          <w:lang w:val="en-GB" w:eastAsia="en-AU" w:bidi="ar-SA"/>
        </w:rPr>
        <w:instrText>ADDIN CSL_CITATION { "citationItems" : [ { "id" : "ITEM-1", "itemData" : { "DOI" : "10.1038/sj.ejcn.1601598", "ISSN" : "09543007", "PMID" : "12771969", "abstract" : "OBJECTIVE: To evaluate both efficacy and safety in humans of long-term consumption of spreads containing plant sterol esters. DESIGN: Randomized double-blind placebo-controlled parallel trial. SUBJECTS:: Hundred and eighty-five healthy volunteers (35-64 y). INTERVENTION: Volunteers daily consumed 20 g spread enriched with 1.6 g plant sterols as fatty acid esters or a control spread for 1 y. They continued their habitual diet and lifestyle. Outcome measures included efficacy markers such as total and LDL-cholesterol, a large range of safety parameters, and reporting of adverse events. RESULTS: Consumption of the plant sterol ester-enriched spread consistently lowered total and LDL cholesterol during the 1 y period on average by 4 and 6%, respectively (0.01 &lt; P &lt; 0.05). Plant sterols intake did on average not result in a lower carotenoid concentration (when expressed per LDL-cholesterol) after 52 weeks (P&gt;0.05). However, carotenoid concentrations changed over time. Plant sterols intake reduced lipid adjusted alpha- and beta-carotene-concentrations by only 15-25% after 1 y, relative to control. Lipid-adjusted fat-soluble vitamin concentrations remained unchanged. Plant sterol concentrations in serum were increased from 2.76 to 5.31 ( micro mol/mmol total cholesterol) for campesterol (P&lt;0.0001) and from 1.86 to 2.47 ( micro mol/mmol total cholesterol) for beta-sitosterol (P&lt;0.0001). The increase in total plant sterol concentration in red blood cells (5.29-9.62 micro g/g) did not affect red blood cell deformability. Hormone levels in males (free and total testosterone) and females (luteinizing hormone, follicle stimulating hormone, beta-estradiol and progesterone) as well as all clinical chemical and hematological parameters measured were unaffected. Adverse events reported were not different between subjects consuming control spread and subjects consuming plant sterol esters-enriched spread. CONCLUSION: Consumption of a plant sterol esters-enriched spread is an effective way to consistently lower blood cholesterol concentrations and is safe to use over a long period of time.", "author" : [ { "dropping-particle" : "", "family" : "Hendriks", "given" : "H F J", "non-dropping-particle" : "", "parse-names" : false, "suffix" : "" }, { "dropping-particle" : "", "family" : "Brink", "given" : "E J", "non-dropping-particle" : "", "parse-names" : false, "suffix" : "" }, { "dropping-particle" : "", "family" : "Meijer", "given" : "G W", "non-dropping-particle" : "", "parse-names" : false, "suffix" : "" }, { "dropping-particle" : "", "family" : "Princen", "given" : "H M G", "non-dropping-particle" : "", "parse-names" : false, "suffix" : "" }, { "dropping-particle" : "", "family" : "Ntanios", "given" : "F Y", "non-dropping-particle" : "", "parse-names" : false, "suffix" : "" } ], "container-title" : "European journal of clinical nutrition", "id" : "ITEM-1", "issue" : "5", "issued" : { "date-parts" : [ [ "2003" ] ] }, "page" : "681-692", "title" : "Safety of long-term consumption of plant sterol esters-enriched spread.", "type" : "article-journal", "volume" : "57" }, "suppress-author" : 1, "uris" : [ "http://www.mendeley.com/documents/?uuid=61030537-faeb-42a6-ab0e-ac6b1deede94" ] } ], "mendeley" : { "formattedCitation" : "(2003)", "plainTextFormattedCitation" : "(2003)", "previouslyFormattedCitation" : "(2003)" }, "properties" : { "noteIndex" : 0 }, "schema" : "https://github.com/citation-style-language/schema/raw/master/csl-citation.json" }</w:instrText>
      </w:r>
      <w:r w:rsidRPr="00962376">
        <w:rPr>
          <w:lang w:val="en-GB" w:eastAsia="en-AU" w:bidi="ar-SA"/>
        </w:rPr>
        <w:fldChar w:fldCharType="separate"/>
      </w:r>
      <w:r w:rsidRPr="00962376">
        <w:rPr>
          <w:noProof/>
          <w:lang w:val="en-GB" w:eastAsia="en-AU" w:bidi="ar-SA"/>
        </w:rPr>
        <w:t>(2003)</w:t>
      </w:r>
      <w:r w:rsidRPr="00962376">
        <w:rPr>
          <w:lang w:val="en-GB" w:eastAsia="en-AU" w:bidi="ar-SA"/>
        </w:rPr>
        <w:fldChar w:fldCharType="end"/>
      </w:r>
      <w:r w:rsidRPr="00962376">
        <w:rPr>
          <w:lang w:val="en-GB" w:eastAsia="en-AU" w:bidi="ar-SA"/>
        </w:rPr>
        <w:t xml:space="preserve"> </w:t>
      </w:r>
      <w:r w:rsidR="00AC08BB">
        <w:rPr>
          <w:lang w:val="en-GB" w:eastAsia="en-AU" w:bidi="ar-SA"/>
        </w:rPr>
        <w:t xml:space="preserve">are most likely </w:t>
      </w:r>
      <w:r w:rsidRPr="00962376">
        <w:rPr>
          <w:lang w:val="en-GB" w:eastAsia="en-AU" w:bidi="ar-SA"/>
        </w:rPr>
        <w:t>attributed to chance.</w:t>
      </w:r>
    </w:p>
    <w:p w14:paraId="5BD2623D" w14:textId="77777777" w:rsidR="007D69AD" w:rsidRPr="00F07DF9" w:rsidRDefault="007D69AD" w:rsidP="007D69AD">
      <w:pPr>
        <w:rPr>
          <w:rFonts w:cs="Arial"/>
          <w:bCs/>
          <w:szCs w:val="22"/>
          <w:lang w:val="en-GB"/>
        </w:rPr>
      </w:pPr>
    </w:p>
    <w:p w14:paraId="18BD9345" w14:textId="296B270D" w:rsidR="007D69AD" w:rsidRPr="00547FB5" w:rsidRDefault="007D69AD" w:rsidP="00554E2F">
      <w:pPr>
        <w:rPr>
          <w:rFonts w:cs="Arial"/>
          <w:bCs/>
          <w:szCs w:val="22"/>
          <w:lang w:val="en-GB"/>
        </w:rPr>
      </w:pPr>
      <w:r w:rsidRPr="00F07DF9">
        <w:rPr>
          <w:rFonts w:cs="Arial"/>
          <w:bCs/>
          <w:szCs w:val="22"/>
          <w:lang w:val="en-GB"/>
        </w:rPr>
        <w:t xml:space="preserve">Although shorter in the intervention period compared with that reported by </w:t>
      </w:r>
      <w:r w:rsidRPr="00F07DF9">
        <w:rPr>
          <w:noProof/>
          <w:lang w:val="en-GB" w:eastAsia="en-AU" w:bidi="ar-SA"/>
        </w:rPr>
        <w:t>Gylling et al.</w:t>
      </w:r>
      <w:r w:rsidRPr="00F07DF9">
        <w:rPr>
          <w:rFonts w:cs="Arial"/>
          <w:bCs/>
          <w:szCs w:val="22"/>
          <w:lang w:val="en-GB"/>
        </w:rPr>
        <w:t xml:space="preserve"> </w:t>
      </w:r>
      <w:r w:rsidRPr="00F07DF9">
        <w:rPr>
          <w:lang w:val="en-GB" w:eastAsia="en-AU" w:bidi="ar-SA"/>
        </w:rPr>
        <w:fldChar w:fldCharType="begin" w:fldLock="1"/>
      </w:r>
      <w:r w:rsidRPr="00F07DF9">
        <w:rPr>
          <w:lang w:val="en-GB" w:eastAsia="en-AU" w:bidi="ar-SA"/>
        </w:rPr>
        <w:instrText>ADDIN CSL_CITATION { "citationItems" : [ { "id" : "ITEM-1", "itemData" : { "DOI" : "10.1016/j.clnu.2009.08.005", "ISBN" : "1532-1983 (Electronic)", "ISSN" : "02615614", "PMID" : "19709787", "abstract" : "Background &amp; aims: Intake of 2-3. g/d of plant stanols as esters lowers LDL cholesterol level, but there is no information about the efficacy and safety of a respective very high daily intake. We studied the effects of 8.8. g/d of plant stanols as esters on serum lipids and safety variables in subjects with mild to moderate hypercholesterolemia. Methods: In a randomized, double-blind, placebo-controlled study the intervention (n= 25) and control (n=24) groups consumed spread and drink enriched or not with plant stanol esters for 10 weeks. Results: Plant stanols reduced serum total and LDL cholesterol concentrations by 12.8 and 17.3% from baseline and by 12.0 and 17.1% from controls (P&lt;0.01 for all). Liver enzymes, markers of hemolysis, and blood cells were unchanged. Serum vitamins A, D, and ??-tocopherol concentrations, and the ratios of ??-tocopherol to cholesterol were unchanged. Serum ??-carotene concentrations decreased significantly from baseline and were different from controls even when adjusted for cholesterol. Serum ??-carotene concentration and ??-carotene/cholesterol ratio were not different from controls. Conclusions: High intake of plant stanols reduced LDL cholesterol values without any other side effects than reduction of serum ??-carotene concentration. However, the end product, serum vitamin A levels, were unchanged. The results suggest that plant stanol ester intake can be increased to induce a greater cholesterol lowering effect. ?? 2009 Elsevier Ltd and European Society for Clinical Nutrition and Metabolism.", "author" : [ { "dropping-particle" : "", "family" : "Gylling", "given" : "Helena", "non-dropping-particle" : "", "parse-names" : false, "suffix" : "" }, { "dropping-particle" : "", "family" : "Hallikainen", "given" : "Maarit", "non-dropping-particle" : "", "parse-names" : false, "suffix" : "" }, { "dropping-particle" : "", "family" : "Nissinen", "given" : "Markku J.", "non-dropping-particle" : "", "parse-names" : false, "suffix" : "" }, { "dropping-particle" : "", "family" : "Miettinen", "given" : "Tatu A.", "non-dropping-particle" : "", "parse-names" : false, "suffix" : "" } ], "container-title" : "Clinical Nutrition", "id" : "ITEM-1", "issue" : "1", "issued" : { "date-parts" : [ [ "2010", "2" ] ] }, "page" : "112-118", "title" : "The effect of a very high daily plant stanol ester intake on serum lipids, carotenoids, and fat-soluble vitamins", "type" : "article-journal", "volume" : "29" }, "suppress-author" : 1, "uris" : [ "http://www.mendeley.com/documents/?uuid=cb4b9a5f-9c7c-49ba-9c8c-3cb339739881" ] } ], "mendeley" : { "formattedCitation" : "(2010)", "plainTextFormattedCitation" : "(2010)", "previouslyFormattedCitation" : "(2010)" }, "properties" : { "noteIndex" : 0 }, "schema" : "https://github.com/citation-style-language/schema/raw/master/csl-citation.json" }</w:instrText>
      </w:r>
      <w:r w:rsidRPr="00F07DF9">
        <w:rPr>
          <w:lang w:val="en-GB" w:eastAsia="en-AU" w:bidi="ar-SA"/>
        </w:rPr>
        <w:fldChar w:fldCharType="separate"/>
      </w:r>
      <w:r w:rsidRPr="00F07DF9">
        <w:rPr>
          <w:noProof/>
          <w:lang w:val="en-GB" w:eastAsia="en-AU" w:bidi="ar-SA"/>
        </w:rPr>
        <w:t>(2010)</w:t>
      </w:r>
      <w:r w:rsidRPr="00F07DF9">
        <w:rPr>
          <w:lang w:val="en-GB" w:eastAsia="en-AU" w:bidi="ar-SA"/>
        </w:rPr>
        <w:fldChar w:fldCharType="end"/>
      </w:r>
      <w:r w:rsidRPr="00F07DF9">
        <w:rPr>
          <w:lang w:val="en-GB" w:eastAsia="en-AU" w:bidi="ar-SA"/>
        </w:rPr>
        <w:t xml:space="preserve"> or by </w:t>
      </w:r>
      <w:r w:rsidRPr="00F07DF9">
        <w:rPr>
          <w:noProof/>
          <w:lang w:val="en-GB"/>
        </w:rPr>
        <w:t>Davidson et al.</w:t>
      </w:r>
      <w:r w:rsidRPr="00F07DF9">
        <w:rPr>
          <w:lang w:val="en-GB" w:eastAsia="en-AU" w:bidi="ar-SA"/>
        </w:rPr>
        <w:t xml:space="preserve"> </w:t>
      </w:r>
      <w:r w:rsidRPr="00F07DF9">
        <w:rPr>
          <w:lang w:val="en-GB"/>
        </w:rPr>
        <w:fldChar w:fldCharType="begin" w:fldLock="1"/>
      </w:r>
      <w:r w:rsidRPr="00F07DF9">
        <w:rPr>
          <w:lang w:val="en-GB"/>
        </w:rPr>
        <w:instrText>ADDIN CSL_CITATION { "citationItems" : [ { "id" : "ITEM-1",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"ITEM-1", "issue" : "4", "issued" : { "date-parts" : [ [ "2001", "8" ] ] }, "page" : "307-319", "title" : "Safety and Tolerability of Esterified Phytosterols Administered in Reduced-Fat Spread and Salad Dressing to Healthy Adult Men and Women", "type" : "article-journal", "volume" : "20" }, "suppress-author" : 1, "uris" : [ "http://www.mendeley.com/documents/?uuid=82784c8c-9316-4cf4-9444-94450c730e40" ] } ], "mendeley" : { "formattedCitation" : "(2001)", "plainTextFormattedCitation" : "(2001)", "previouslyFormattedCitation" : "(2001)" }, "properties" : { "noteIndex" : 0 }, "schema" : "https://github.com/citation-style-language/schema/raw/master/csl-citation.json" }</w:instrText>
      </w:r>
      <w:r w:rsidRPr="00F07DF9">
        <w:rPr>
          <w:lang w:val="en-GB"/>
        </w:rPr>
        <w:fldChar w:fldCharType="separate"/>
      </w:r>
      <w:r w:rsidRPr="00F07DF9">
        <w:rPr>
          <w:noProof/>
          <w:lang w:val="en-GB"/>
        </w:rPr>
        <w:t>(2001)</w:t>
      </w:r>
      <w:r w:rsidRPr="00F07DF9">
        <w:rPr>
          <w:lang w:val="en-GB"/>
        </w:rPr>
        <w:fldChar w:fldCharType="end"/>
      </w:r>
      <w:r w:rsidR="008B341B" w:rsidRPr="00F07DF9">
        <w:rPr>
          <w:lang w:val="en-GB"/>
        </w:rPr>
        <w:t xml:space="preserve">, </w:t>
      </w:r>
      <w:r w:rsidRPr="00F07DF9">
        <w:rPr>
          <w:lang w:val="en-GB"/>
        </w:rPr>
        <w:t>the findings of a</w:t>
      </w:r>
      <w:r w:rsidRPr="00F07DF9">
        <w:rPr>
          <w:rFonts w:cs="Arial"/>
          <w:bCs/>
          <w:szCs w:val="22"/>
          <w:lang w:val="en-GB"/>
        </w:rPr>
        <w:t xml:space="preserve"> randomised, double-blinded placebo-controlled study by </w:t>
      </w:r>
      <w:r w:rsidRPr="00F07DF9">
        <w:rPr>
          <w:rFonts w:cs="Arial"/>
          <w:bCs/>
          <w:noProof/>
          <w:szCs w:val="22"/>
          <w:lang w:val="en-GB"/>
        </w:rPr>
        <w:t xml:space="preserve">Mensink et al. </w:t>
      </w:r>
      <w:r w:rsidRPr="00F07DF9">
        <w:rPr>
          <w:rFonts w:cs="Arial"/>
          <w:bCs/>
          <w:szCs w:val="22"/>
          <w:lang w:val="en-GB"/>
        </w:rPr>
        <w:fldChar w:fldCharType="begin" w:fldLock="1"/>
      </w:r>
      <w:r w:rsidR="00AB45FA" w:rsidRPr="00F07DF9">
        <w:rPr>
          <w:rFonts w:cs="Arial"/>
          <w:bCs/>
          <w:szCs w:val="22"/>
          <w:lang w:val="en-GB"/>
        </w:rPr>
        <w:instrText>ADDIN CSL_CITATION { "citationItems" : [ { "id" : "ITEM-1", "itemData" : { "DOI" : "10.3945/ajcn.2009.29143", "ISBN" : "1938-3207 (Electronic)\\r0002-9165 (Linking)", "ISSN" : "00029165", "PMID" : "20504972", "abstract" : "BACKGROUND: It is unclear whether plant stanols lower serum LDL-cholesterol concentrations and cholesterol-standardized fat-soluble antioxidant concentrations dose-dependently when consumption exceeds the recommended daily intakes of 2.0-3.0 g. OBJECTIVE: The objective was to study the relation between plant stanols provided as plant stanol esters on changes in serum concentrations of LDL cholesterol and fat-soluble antioxidants. DESIGN: Healthy subjects (n = 93) with slightly elevated serum total cholesterol concentrations (5.0-8.0 mmol/L) received, after a 3-wk run-in period, control products (n = 22) or products (margarine and soy-based yogurt) providing 3 g (n = 24), 6 g (n = 22), or 9 g (n = 25) plant stanols provided as fatty acid esters for 4 wk. RESULTS: Serum LDL cholesterol decreased dose-dependently. Compared with control, decreases in the 3-g group were 0.32 mmol/L (7.4%; P = 0.005 after adjustment for multiple comparisons). An intake of 6 g plant stanols caused an additional decrease of 0.18 mmol/L (4.5%; P = 0.100 compared with the 3-g group). In the 9-g group, a further decrease of 0.22 mmol/L (5.4%) was observed (P = 0.048 compared with the 6-g group). Serum LDL-cholesterol concentrations were lowered by 17.4% in the 9-g group compared with the control group. No effects on cholesterol-standardized beta-carotene concentrations were observed. Even the change of -0.01 mumol/mmol cholesterol (or -9.2%; P = 0.341) in the 3-g group compared with the control group was not statistically significant because of the large variation in response. Serum HDL-cholesterol and triacylglycerol concentrations, cholesterol-standardized alpha-tocopherol and lutein concentrations, and plasma markers reflecting liver and renal function were not affected. CONCLUSIONS: Daily consumption of plant stanols up to 9 g reduces serum LDL-cholesterol concentrations linearly up to 17.4%. For cholesterol-standardized fat-soluble antioxidant concentrations, such a relation could not be ascertained.", "author" : [ { "dropping-particle" : "", "family" : "Mensink", "given" : "Ronald P.", "non-dropping-particle" : "", "parse-names" : false, "suffix" : "" }, { "dropping-particle" : "", "family" : "Jong", "given" : "Arienne", "non-dropping-particle" : "De", "parse-names" : false, "suffix" : "" }, { "dropping-particle" : "", "family" : "L\u00fctjohann", "given" : "Dieter", "non-dropping-particle" : "", "parse-names" : false, "suffix" : "" }, { "dropping-particle" : "", "family" : "Haenen", "given" : "Guido R M M", "non-dropping-particle" : "", "parse-names" : false, "suffix" : "" }, { "dropping-particle" : "", "family" : "Plat", "given" : "Jogchum", "non-dropping-particle" : "", "parse-names" : false, "suffix" : "" } ], "container-title" : "American Journal of Clinical Nutrition", "id" : "ITEM-1", "issue" : "1", "issued" : { "date-parts" : [ [ "2010" ] ] }, "page" : "24-33", "title" : "Plant stanols dose-dependently decrease LDL-cholesterol concentrations, but not cholesterol-standardized fat-soluble antioxidant concentrations, at intakes up to 9 g/d", "type" : "article-journal", "volume" : "92" }, "suppress-author" : 1, "uris" : [ "http://www.mendeley.com/documents/?uuid=5fbec031-d071-4bda-8581-8c4e32e4c8fa" ] } ], "mendeley" : { "formattedCitation" : "(2010)", "plainTextFormattedCitation" : "(2010)", "previouslyFormattedCitation" : "(2010)" }, "properties" : { "noteIndex" : 0 }, "schema" : "https://github.com/citation-style-language/schema/raw/master/csl-citation.json" }</w:instrText>
      </w:r>
      <w:r w:rsidRPr="00F07DF9">
        <w:rPr>
          <w:rFonts w:cs="Arial"/>
          <w:bCs/>
          <w:szCs w:val="22"/>
          <w:lang w:val="en-GB"/>
        </w:rPr>
        <w:fldChar w:fldCharType="separate"/>
      </w:r>
      <w:r w:rsidRPr="00F07DF9">
        <w:rPr>
          <w:rFonts w:cs="Arial"/>
          <w:bCs/>
          <w:noProof/>
          <w:szCs w:val="22"/>
          <w:lang w:val="en-GB"/>
        </w:rPr>
        <w:t>(2010)</w:t>
      </w:r>
      <w:r w:rsidRPr="00F07DF9">
        <w:rPr>
          <w:rFonts w:cs="Arial"/>
          <w:bCs/>
          <w:szCs w:val="22"/>
          <w:lang w:val="en-GB"/>
        </w:rPr>
        <w:fldChar w:fldCharType="end"/>
      </w:r>
      <w:r w:rsidRPr="00F07DF9">
        <w:rPr>
          <w:rFonts w:cs="Arial"/>
          <w:bCs/>
          <w:szCs w:val="22"/>
          <w:lang w:val="en-GB"/>
        </w:rPr>
        <w:t>, in which subjects received up to 9 g/d of</w:t>
      </w:r>
      <w:r w:rsidR="006545FC" w:rsidRPr="00F07DF9">
        <w:rPr>
          <w:rFonts w:cs="Arial"/>
          <w:bCs/>
          <w:szCs w:val="22"/>
          <w:lang w:val="en-GB"/>
        </w:rPr>
        <w:t xml:space="preserve"> total</w:t>
      </w:r>
      <w:r w:rsidRPr="00F07DF9">
        <w:rPr>
          <w:rFonts w:cs="Arial"/>
          <w:bCs/>
          <w:szCs w:val="22"/>
          <w:lang w:val="en-GB"/>
        </w:rPr>
        <w:t xml:space="preserve"> plant st</w:t>
      </w:r>
      <w:r w:rsidR="006545FC" w:rsidRPr="00F07DF9">
        <w:rPr>
          <w:rFonts w:cs="Arial"/>
          <w:bCs/>
          <w:szCs w:val="22"/>
          <w:lang w:val="en-GB"/>
        </w:rPr>
        <w:t>erols equivalents</w:t>
      </w:r>
      <w:r w:rsidRPr="00F07DF9">
        <w:rPr>
          <w:rFonts w:cs="Arial"/>
          <w:bCs/>
          <w:szCs w:val="22"/>
          <w:lang w:val="en-GB"/>
        </w:rPr>
        <w:t xml:space="preserve"> for 4 weeks, were consistent with the longer studies. </w:t>
      </w:r>
    </w:p>
    <w:p w14:paraId="482CA632" w14:textId="77777777" w:rsidR="0051780C" w:rsidRPr="00962376" w:rsidRDefault="0051780C" w:rsidP="0051780C">
      <w:pPr>
        <w:autoSpaceDE w:val="0"/>
        <w:autoSpaceDN w:val="0"/>
        <w:adjustRightInd w:val="0"/>
        <w:rPr>
          <w:rFonts w:cs="Arial"/>
          <w:bCs/>
          <w:szCs w:val="22"/>
          <w:lang w:val="en-GB"/>
        </w:rPr>
      </w:pPr>
    </w:p>
    <w:p w14:paraId="4D413E38" w14:textId="77777777" w:rsidR="00724D8F" w:rsidRDefault="00724D8F" w:rsidP="0051780C">
      <w:pPr>
        <w:autoSpaceDE w:val="0"/>
        <w:autoSpaceDN w:val="0"/>
        <w:adjustRightInd w:val="0"/>
        <w:rPr>
          <w:rFonts w:cs="Arial"/>
          <w:szCs w:val="22"/>
          <w:lang w:val="en-GB"/>
        </w:rPr>
      </w:pPr>
      <w:r>
        <w:rPr>
          <w:rFonts w:cs="Arial"/>
          <w:szCs w:val="22"/>
          <w:lang w:val="en-GB"/>
        </w:rPr>
        <w:br w:type="page"/>
      </w:r>
    </w:p>
    <w:p w14:paraId="73F0AFBE" w14:textId="79EB26ED" w:rsidR="0051780C" w:rsidRPr="00962376" w:rsidRDefault="0051780C" w:rsidP="0051780C">
      <w:pPr>
        <w:autoSpaceDE w:val="0"/>
        <w:autoSpaceDN w:val="0"/>
        <w:adjustRightInd w:val="0"/>
        <w:rPr>
          <w:rFonts w:cs="Arial"/>
          <w:szCs w:val="22"/>
          <w:lang w:val="en-GB"/>
        </w:rPr>
      </w:pPr>
      <w:r w:rsidRPr="00962376">
        <w:rPr>
          <w:rFonts w:cs="Arial"/>
          <w:szCs w:val="22"/>
          <w:lang w:val="en-GB"/>
        </w:rPr>
        <w:lastRenderedPageBreak/>
        <w:t>No significant changes have been reported in vitamin K concentration in the blood serum following plant sterols consumption by hypercholesterol</w:t>
      </w:r>
      <w:r w:rsidR="001072B9">
        <w:rPr>
          <w:rFonts w:cs="Arial"/>
          <w:szCs w:val="22"/>
          <w:lang w:val="en-GB"/>
        </w:rPr>
        <w:t>a</w:t>
      </w:r>
      <w:r w:rsidRPr="00962376">
        <w:rPr>
          <w:rFonts w:cs="Arial"/>
          <w:szCs w:val="22"/>
          <w:lang w:val="en-GB"/>
        </w:rPr>
        <w:t xml:space="preserve">emic </w:t>
      </w:r>
      <w:r w:rsidRPr="00962376">
        <w:rPr>
          <w:rFonts w:cs="Arial"/>
          <w:szCs w:val="22"/>
          <w:lang w:val="en-GB"/>
        </w:rPr>
        <w:fldChar w:fldCharType="begin" w:fldLock="1"/>
      </w:r>
      <w:r w:rsidRPr="00962376">
        <w:rPr>
          <w:rFonts w:cs="Arial"/>
          <w:szCs w:val="22"/>
          <w:lang w:val="en-GB"/>
        </w:rPr>
        <w:instrText>ADDIN CSL_CITATION { "citationItems" : [ { "id" : "ITEM-1", "itemData" : { "DOI" : "10.3945/jn.108.090969.Data", "ISBN" : "1541-6100 (Electronic) 1541-6100 (Linking)", "ISSN" : "1541-6100", "PMID" : "19056656", "abstract" : "Plant sterol esters reduce serum total cholesterol (TC) and LDL cholesterol (LDL-C), but with striking interindividual variability. In this randomized, double-blind, controlled study, serum lipid, plant sterol, fat-soluble vitamin, and carotenoid responses to plant sterols were studied according to the apolipoprotein E (ApoE) genotype in 217 hypercholesterolemic adults. Subjects received a reduced saturated fat and cholesterol diet for 4 wk, followed by a 5-wk intervention during which theyconsumeda controlspread(n\u00bc87) or a spreadwith plant sterol esters (1.1 g/d or 2.2 g/d plant sterols;n\u00bc120).Twenty- six subjects carried the E2 allele (E2E2 and E2E3), 51 had the E4 allele (E3E41E4E4), and 130 were E3 homozygotes. Ten E2E4 carriers were not studied. At baseline, the serum triacylglycerol (TAG) concentration was lower in E4 subjects than in E3 subjects,a-tocopherolwas lower in E4 subjects than in E2 individuals, and LDL-Cwas lower in E2 carriers than in E3 and E4 carriers (P,0.05 for all). During sterol consumption, TC, LDL-C, and ApoB concentrations and the TC:LDL-C and LDL- C:HDL-C ratios decreased in only E2 and E3 subjects and TAG decreased in only E2 subjects (all P , 0.05 vs. control). Significant reductions in serum carotenoids (P , 0.05 vs. control) were demonstrated for some alleles: b-carotene and lycopene inE2 and E4;a-carotene in E3; cryptoxanthin in E3and E4; zeaxanthin in E4; lycopene in E2and E4; and lutein in E2 carriers. Thus, responses to plant sterols vary by ApoE genotype and may be of little value in ApoE4 carriers, who had reductions in serum carotenoid concentrations but not in TC, LDL-C, or ApoB. J.", "author" : [ { "dropping-particle" : "", "family" : "Sanchez-Muniz", "given" : "Francisco J", "non-dropping-particle" : "", "parse-names" : false, "suffix" : "" }, { "dropping-particle" : "", "family" : "Maki", "given" : "Kevin C", "non-dropping-particle" : "", "parse-names" : false, "suffix" : "" }, { "dropping-particle" : "", "family" : "Schaefer", "given" : "Ernst J", "non-dropping-particle" : "", "parse-names" : false, "suffix" : "" }, { "dropping-particle" : "", "family" : "Ordovas", "given" : "Jose M", "non-dropping-particle" : "", "parse-names" : false, "suffix" : "" } ], "container-title" : "Journal of Nutrition", "id" : "ITEM-1", "issue" : "April 2008", "issued" : { "date-parts" : [ [ "2009" ] ] }, "page" : "17-23", "title" : "Serum Lipid and Antioxidant Responses in Hypercholesterolemic Men and Women Receiving Plant Sterol Esters Vary by", "type" : "article-journal", "volume" : "139" }, "uris" : [ "http://www.mendeley.com/documents/?uuid=01eceb51-1ab6-4611-8cff-9aa15d3903fd" ] } ], "mendeley" : { "formattedCitation" : "(Sanchez-Muniz et al. 2009)", "plainTextFormattedCitation" : "(Sanchez-Muniz et al. 2009)", "previouslyFormattedCitation" : "(Sanchez-Muniz et al. 2009)" }, "properties" : { "noteIndex" : 0 }, "schema" : "https://github.com/citation-style-language/schema/raw/master/csl-citation.json" }</w:instrText>
      </w:r>
      <w:r w:rsidRPr="00962376">
        <w:rPr>
          <w:rFonts w:cs="Arial"/>
          <w:szCs w:val="22"/>
          <w:lang w:val="en-GB"/>
        </w:rPr>
        <w:fldChar w:fldCharType="separate"/>
      </w:r>
      <w:r w:rsidRPr="00962376">
        <w:rPr>
          <w:rFonts w:cs="Arial"/>
          <w:noProof/>
          <w:szCs w:val="22"/>
          <w:lang w:val="en-GB"/>
        </w:rPr>
        <w:t>(Sanchez-Muniz et al. 2009)</w:t>
      </w:r>
      <w:r w:rsidRPr="00962376">
        <w:rPr>
          <w:rFonts w:cs="Arial"/>
          <w:szCs w:val="22"/>
          <w:lang w:val="en-GB"/>
        </w:rPr>
        <w:fldChar w:fldCharType="end"/>
      </w:r>
      <w:r w:rsidRPr="00962376">
        <w:rPr>
          <w:rFonts w:cs="Arial"/>
          <w:szCs w:val="22"/>
          <w:lang w:val="en-GB"/>
        </w:rPr>
        <w:t>, mildly hypercholesterol</w:t>
      </w:r>
      <w:r w:rsidR="001072B9">
        <w:rPr>
          <w:rFonts w:cs="Arial"/>
          <w:szCs w:val="22"/>
          <w:lang w:val="en-GB"/>
        </w:rPr>
        <w:t>a</w:t>
      </w:r>
      <w:r w:rsidRPr="00962376">
        <w:rPr>
          <w:rFonts w:cs="Arial"/>
          <w:szCs w:val="22"/>
          <w:lang w:val="en-GB"/>
        </w:rPr>
        <w:t xml:space="preserve">emic </w:t>
      </w:r>
      <w:r w:rsidRPr="00962376">
        <w:rPr>
          <w:rFonts w:cs="Arial"/>
          <w:szCs w:val="22"/>
          <w:lang w:val="en-GB"/>
        </w:rPr>
        <w:fldChar w:fldCharType="begin" w:fldLock="1"/>
      </w:r>
      <w:r w:rsidRPr="00962376">
        <w:rPr>
          <w:rFonts w:cs="Arial"/>
          <w:szCs w:val="22"/>
          <w:lang w:val="en-GB"/>
        </w:rPr>
        <w:instrText>ADDIN CSL_CITATION { "citationItems" : [ { "id" : "ITEM-1", "itemData" : { "DOI" : "10.1038/sj.ejcn.1602362", "ISBN" : "09543007 (ISSN)", "ISSN" : "0954-3007", "PMID" : "16404415", "abstract" : "Objective: The aim of this study was to investigate whether a plant sterol mixture would reduce serum cholesterol when added to low fat dairy products in subjects with hypercholesterolaemia, and to examine the effects of the mixture on the serum plant sterol and fat-soluble vitamin levels. Design: A parallel, double-blind study. Setting: The study was performed in three different locations in Finland. Subjects: In total, 164 mildly or moderately hypercholesterolaemic subjects participated in the study. Methods: The subjects were randomly divided into two groups: a plant sterol group and a control group. The subjects consumed the products for 6 weeks after a 3-week run-in period. The targeted plant sterol intake was 2 g/day in the sterol group. Results: During the treatment period, there was a 6.5% reduction in serum total cholesterol in the sterol group while no change was observed in the control group (P&lt;0.0005). Serum low-density lipoprotein (LDL) cholesterol was reduced by 10.4% in the sterol group and by 0.6%; in the control group (P&lt;.00005). There was no change during the trial in serum high-density lipoprotein (HDL) cholesterol or triacylglycerol concentrations. The HDL/LDL cholesterol ratio increased by 16.15 in the sterol group and by 4.3% in the control group (P=0.0001). Serum plant sterol levels increased significantly (P=0.0001) in the sterol group. None of the fat-soluble vitamin levels decreased significantly when changes in serum total cholesterol were taken into account. The hypocholesterolaemic effect of sterol administration was not influenced by apolipoprotein E phenotype. Conclusions: Yoghurt, low-fat hard cheese and low-fat fresh cheese enriched with a plant sterol mixture reduced serum cholesterol in hypercholesterolaemic subjects and no adverse effects were noted in the dietary control of hypercholesterolaemia. \u00a9 2006 Nature Publishing Group. All rights reserved.", "author" : [ { "dropping-particle" : "", "family" : "Korpela", "given" : "R", "non-dropping-particle" : "", "parse-names" : false, "suffix" : "" }, { "dropping-particle" : "", "family" : "Tuomilehto", "given" : "J", "non-dropping-particle" : "", "parse-names" : false, "suffix" : "" }, { "dropping-particle" : "", "family" : "H\u00f6gstr\u00f6m", "given" : "P", "non-dropping-particle" : "", "parse-names" : false, "suffix" : "" }, { "dropping-particle" : "", "family" : "Seppo", "given" : "L", "non-dropping-particle" : "", "parse-names" : false, "suffix" : "" }, { "dropping-particle" : "", "family" : "Piironen", "given" : "V", "non-dropping-particle" : "", "parse-names" : false, "suffix" : "" }, { "dropping-particle" : "", "family" : "Salo-V\u00e4\u00e4n\u00e4nen", "given" : "P", "non-dropping-particle" : "", "parse-names" : false, "suffix" : "" }, { "dropping-particle" : "", "family" : "Toivo", "given" : "J", "non-dropping-particle" : "", "parse-names" : false, "suffix" : "" }, { "dropping-particle" : "", "family" : "Lamberg-Allardt", "given" : "C", "non-dropping-particle" : "", "parse-names" : false, "suffix" : "" }, { "dropping-particle" : "", "family" : "K\u00e4rkk\u00e4inen", "given" : "M", "non-dropping-particle" : "", "parse-names" : false, "suffix" : "" }, { "dropping-particle" : "", "family" : "Outila", "given" : "T", "non-dropping-particle" : "", "parse-names" : false, "suffix" : "" }, { "dropping-particle" : "", "family" : "Sundvall", "given" : "J", "non-dropping-particle" : "", "parse-names" : false, "suffix" : "" }, { "dropping-particle" : "", "family" : "Vilkkil\u00e4", "given" : "S", "non-dropping-particle" : "", "parse-names" : false, "suffix" : "" }, { "dropping-particle" : "", "family" : "Tikkanen", "given" : "M J", "non-dropping-particle" : "", "parse-names" : false, "suffix" : "" } ], "container-title" : "European Journal of Clinical Nutrition", "id" : "ITEM-1", "issue" : "5", "issued" : { "date-parts" : [ [ "2006", "5", "11" ] ] }, "page" : "633-642", "title" : "Safety aspects and cholesterol-lowering efficacy of low fat dairy products containing plant sterols", "type" : "article-journal", "volume" : "60" }, "uris" : [ "http://www.mendeley.com/documents/?uuid=7fbce6cf-44db-4ba0-973e-65c042bb718d" ] } ], "mendeley" : { "formattedCitation" : "(Korpela et al. 2006)", "plainTextFormattedCitation" : "(Korpela et al. 2006)", "previouslyFormattedCitation" : "(Korpela et al. 2006)" }, "properties" : { "noteIndex" : 0 }, "schema" : "https://github.com/citation-style-language/schema/raw/master/csl-citation.json" }</w:instrText>
      </w:r>
      <w:r w:rsidRPr="00962376">
        <w:rPr>
          <w:rFonts w:cs="Arial"/>
          <w:szCs w:val="22"/>
          <w:lang w:val="en-GB"/>
        </w:rPr>
        <w:fldChar w:fldCharType="separate"/>
      </w:r>
      <w:r w:rsidRPr="00962376">
        <w:rPr>
          <w:rFonts w:cs="Arial"/>
          <w:noProof/>
          <w:szCs w:val="22"/>
          <w:lang w:val="en-GB"/>
        </w:rPr>
        <w:t>(Korpela et al. 2006)</w:t>
      </w:r>
      <w:r w:rsidRPr="00962376">
        <w:rPr>
          <w:rFonts w:cs="Arial"/>
          <w:szCs w:val="22"/>
          <w:lang w:val="en-GB"/>
        </w:rPr>
        <w:fldChar w:fldCharType="end"/>
      </w:r>
      <w:r w:rsidRPr="00962376">
        <w:rPr>
          <w:rFonts w:cs="Arial"/>
          <w:szCs w:val="22"/>
          <w:lang w:val="en-GB"/>
        </w:rPr>
        <w:t xml:space="preserve"> and healthy subjects </w:t>
      </w:r>
      <w:r w:rsidRPr="00962376">
        <w:rPr>
          <w:rFonts w:cs="Arial"/>
          <w:szCs w:val="22"/>
          <w:lang w:val="en-GB"/>
        </w:rPr>
        <w:fldChar w:fldCharType="begin" w:fldLock="1"/>
      </w:r>
      <w:r w:rsidRPr="00962376">
        <w:rPr>
          <w:rFonts w:cs="Arial"/>
          <w:szCs w:val="22"/>
          <w:lang w:val="en-GB"/>
        </w:rPr>
        <w:instrText>ADDIN CSL_CITATION { "citationItems" : [ { "id" : "ITEM-1", "itemData" : { "DOI" : "10.1016/S0021-9150(99)00261-0", "ISBN" : "0021-9150 (Print)\\r0021-9150 (Linking)", "ISSN" : "00219150", "PMID" : "10580176", "abstract" : "A pine wood based stanol ester mixture-composed of sitostanol (92%) and campestanol (8%) effectively lowers cholesterol absorption and consequently LDL-cholesterol concentrations. It has been postulated that the less absorbable plant sterols reduce cholesterol absorption more effectively. As sitostanol is absorbed less than campestanol, we decided to examine if a vegetable oil based stanol ester mixture with 68% sitostanol and 32% campestanol is less effective than the wood based stanol ester mixture. For this, 112 non-hypercholesterolemic men and women consumed for 4 weeks a rapeseed oil (LEAR) based margarine and shortening. For the next 8 weeks, 42 subjects continued with these products, while the other subjects received products with a vegetable oil (n=36) or a pine wood based stanol ester mixture (n=34). Consumption of 3.8 g vegetable oil based stanols (2.6 g sitostanol plus 1.2 g campestanol) lowered LDL cholesterol 14.6\u00b18.0% (-0.37 mmol/l; vs. the control group; P&lt;0.001; 95% CI for the difference, -0.22 to -0.51 mmol/l). Four grams pine wood based stanols (3.7 g sitostanol plus 0.3 g campestanol) showed a comparable decrease of 12.8\u00b111.2% (-0.34 mmol/l; P&lt;0.001; 95% CI-0.18 to-0.51 mmol/l). Decreases in LDL cholesterol were not different between the two experimental groups (P=0.793), while apoE genotype did not have a major impact on this hypocholesterolemic response. Serum HDL cholesterol and triacylglycerol concentrations were not changed. The decreases in apo B in both experimental groups differed significantly (P&lt;0.001) from changes in the control group. Coagulation and fibrinolytic parameters were not affected. We therefore conclude that vegetable oil and wood based stanol ester mixtures, with a different sitostanol/campestanol ratio, have similar LDL cholesterol lowering effects in a non-hypercholesterolemic population. Copyright (C) 2000 Elsevier Science Ireland Ltd.", "author" : [ { "dropping-particle" : "", "family" : "Plat", "given" : "Jogchum", "non-dropping-particle" : "", "parse-names" : false, "suffix" : "" }, { "dropping-particle" : "", "family" : "Mensink", "given" : "Ronald P.", "non-dropping-particle" : "", "parse-names" : false, "suffix" : "" } ], "container-title" : "Atherosclerosis", "id" : "ITEM-1", "issue" : "1", "issued" : { "date-parts" : [ [ "2000", "1" ] ] }, "page" : "101-112", "title" : "Vegetable oil based versus wood based stanol ester mixtures: effects on serum lipids and hemostatic factors in non-hypercholesterolemic subjects", "type" : "article-journal", "volume" : "148" }, "uris" : [ "http://www.mendeley.com/documents/?uuid=2718e565-a52e-4279-9fe1-eda08207db51" ] }, { "id" : "ITEM-2", "itemData" : { "DOI" : "10.1080/07315724.2001.10719051", "ISSN" : "0731-5724", "PMID" : "11506058", "abstract" : "OBJECTIVE/DESIGN: The safety and tolerability of three levels of plant sterol-esters administered in reduced-fat spread and salad dressing vs. control products were evaluated in this randomized, double-blind, four-arm parallel study.\\n\\nMETHODS: Eighty-four free-living men and women consumed reduced-fat spread and salad dressing providing 0.0 g/day (n = 21), 3.0 g/day (n = 21), 6.0 g/day (n = 19) or 9.0 g/day (n = 23) of phytosterols as esters for an eight-week treatment period.\\n\\nRESULTS: Side effects did not differ among the groups during the study, and there were no study product-related serious adverse events. There were no changes in clinical laboratory values in response to phytosterol intake. Blood concentrations of all fat-soluble vitamins remained within normal reference ranges, and there were no differences in serum vitamin responses among the four groups. Alpha- and trans-beta-carotene levels were reduced in the 9.0 g/day group vs. control (p &lt; 0.05), but all carotenoid values remained within normal ranges throughout the study. All groups receiving phytosterols had significant increases in serum campesterol vs. control (p &lt; 0.001), but beta-sitosterol responses did not differ from control. Total, low-density lipoprotein (LDL) and high-density lipoprotein (HDL) cholesterol responses did not differ significantly among the groups. The total:HDL cholesterol response in the 9.0 g/day group was significantly different from the control group response (-9.6% vs. 2.6%, p &lt; 0.05). A median increase of 7.8% in serum triglycerides was observed in the control group, which differed significantly from the response in the 3.0 g/day arm (-13.3%, p &lt; 0.05).\\n\\nDISCUSSION: The results of this study indicate that phytosterol esters are well tolerated and show no evidence of adverse effects at a daily intake of up to 9.0 g of phytosterols for eight weeks.", "author" : [ { "dropping-particle" : "", "family" : "Davidson", "given" : "Michael H", "non-dropping-particle" : "", "parse-names" : false, "suffix" : "" }, { "dropping-particle" : "", "family" : "Maki", "given" : "Kevin C", "non-dropping-particle" : "", "parse-names" : false, "suffix" : "" }, { "dropping-particle" : "", "family" : "Umporowicz", "given" : "Denise M", "non-dropping-particle" : "", "parse-names" : false, "suffix" : "" }, { "dropping-particle" : "", "family" : "Ingram", "given" : "Kate a", "non-dropping-particle" : "", "parse-names" : false, "suffix" : "" }, { "dropping-particle" : "", "family" : "Dicklin", "given" : "Mary R", "non-dropping-particle" : "", "parse-names" : false, "suffix" : "" }, { "dropping-particle" : "", "family" : "Schaefer", "given" : "Ernst", "non-dropping-particle" : "", "parse-names" : false, "suffix" : "" }, { "dropping-particle" : "", "family" : "Lane", "given" : "Richard W", "non-dropping-particle" : "", "parse-names" : false, "suffix" : "" }, { "dropping-particle" : "", "family" : "McNamara", "given" : "Judith R", "non-dropping-particle" : "", "parse-names" : false, "suffix" : "" }, { "dropping-particle" : "", "family" : "Ribaya-Mercado", "given" : "Judy D", "non-dropping-particle" : "", "parse-names" : false, "suffix" : "" }, { "dropping-particle" : "", "family" : "Perrone", "given" : "Gayle", "non-dropping-particle" : "", "parse-names" : false, "suffix" : "" }, { "dropping-particle" : "", "family" : "Robins", "given" : "Sander J", "non-dropping-particle" : "", "parse-names" : false, "suffix" : "" }, { "dropping-particle" : "", "family" : "Franke", "given" : "William C", "non-dropping-particle" : "", "parse-names" : false, "suffix" : "" } ], "container-title" : "Journal of the American College of Nutrition", "id" : "ITEM-2", "issue" : "4", "issued" : { "date-parts" : [ [ "2001", "8" ] ] }, "page" : "307-319", "title" : "Safety and Tolerability of Esterified Phytosterols Administered in Reduced-Fat Spread and Salad Dressing to Healthy Adult Men and Women", "type" : "article-journal", "volume" : "20" }, "uris" : [ "http://www.mendeley.com/documents/?uuid=82784c8c-9316-4cf4-9444-94450c730e40" ] } ], "mendeley" : { "formattedCitation" : "(Plat and Mensink 2000; Davidson et al. 2001)", "plainTextFormattedCitation" : "(Plat and Mensink 2000; Davidson et al. 2001)", "previouslyFormattedCitation" : "(Plat and Mensink 2000; Davidson et al. 2001)" }, "properties" : { "noteIndex" : 0 }, "schema" : "https://github.com/citation-style-language/schema/raw/master/csl-citation.json" }</w:instrText>
      </w:r>
      <w:r w:rsidRPr="00962376">
        <w:rPr>
          <w:rFonts w:cs="Arial"/>
          <w:szCs w:val="22"/>
          <w:lang w:val="en-GB"/>
        </w:rPr>
        <w:fldChar w:fldCharType="separate"/>
      </w:r>
      <w:r w:rsidRPr="00962376">
        <w:rPr>
          <w:rFonts w:cs="Arial"/>
          <w:noProof/>
          <w:szCs w:val="22"/>
          <w:lang w:val="en-GB"/>
        </w:rPr>
        <w:t>(Plat and Mensink 2000; Davidson et al. 2001)</w:t>
      </w:r>
      <w:r w:rsidRPr="00962376">
        <w:rPr>
          <w:rFonts w:cs="Arial"/>
          <w:szCs w:val="22"/>
          <w:lang w:val="en-GB"/>
        </w:rPr>
        <w:fldChar w:fldCharType="end"/>
      </w:r>
      <w:r w:rsidRPr="00962376">
        <w:rPr>
          <w:rFonts w:cs="Arial"/>
          <w:szCs w:val="22"/>
          <w:lang w:val="en-GB"/>
        </w:rPr>
        <w:t>.</w:t>
      </w:r>
    </w:p>
    <w:p w14:paraId="7392F538" w14:textId="77777777" w:rsidR="0051780C" w:rsidRPr="00962376" w:rsidRDefault="0051780C" w:rsidP="0051780C">
      <w:pPr>
        <w:autoSpaceDE w:val="0"/>
        <w:autoSpaceDN w:val="0"/>
        <w:adjustRightInd w:val="0"/>
        <w:rPr>
          <w:rFonts w:cs="Arial"/>
          <w:bCs/>
          <w:szCs w:val="22"/>
          <w:lang w:val="en-GB"/>
        </w:rPr>
      </w:pPr>
    </w:p>
    <w:p w14:paraId="67D66671" w14:textId="77777777" w:rsidR="0051780C" w:rsidRDefault="0051780C" w:rsidP="0051780C">
      <w:pPr>
        <w:autoSpaceDE w:val="0"/>
        <w:autoSpaceDN w:val="0"/>
        <w:adjustRightInd w:val="0"/>
        <w:rPr>
          <w:rFonts w:cs="Arial"/>
          <w:szCs w:val="22"/>
          <w:lang w:val="en-GB"/>
        </w:rPr>
      </w:pPr>
      <w:r w:rsidRPr="00962376">
        <w:rPr>
          <w:rFonts w:cs="Arial"/>
          <w:szCs w:val="22"/>
          <w:lang w:val="en-GB"/>
        </w:rPr>
        <w:t xml:space="preserve">The current evidence shows that the concentrations of fat-soluble vitamins and carotenoids in the blood remain </w:t>
      </w:r>
      <w:r w:rsidRPr="00962376">
        <w:rPr>
          <w:lang w:val="en-GB" w:eastAsia="en-AU" w:bidi="ar-SA"/>
        </w:rPr>
        <w:t>within the broad natural range of variation</w:t>
      </w:r>
      <w:r w:rsidRPr="00962376">
        <w:rPr>
          <w:rFonts w:cs="Arial"/>
          <w:szCs w:val="22"/>
          <w:lang w:val="en-GB"/>
        </w:rPr>
        <w:t xml:space="preserve">. </w:t>
      </w:r>
      <w:r w:rsidRPr="00962376">
        <w:rPr>
          <w:rFonts w:cs="Arial"/>
          <w:szCs w:val="22"/>
          <w:lang w:val="en-GB" w:eastAsia="en-GB"/>
        </w:rPr>
        <w:t>Therefore, the current assessment agrees with</w:t>
      </w:r>
      <w:r w:rsidRPr="00962376">
        <w:rPr>
          <w:rFonts w:cs="Arial"/>
          <w:szCs w:val="22"/>
          <w:lang w:val="en-GB"/>
        </w:rPr>
        <w:t xml:space="preserve"> the previous conclusion reached by FSANZ and confirms that the reduction in serum carotenoid concentration in the blood caused by consuming plant sterols does not pose a health risk to the adult population. </w:t>
      </w:r>
    </w:p>
    <w:p w14:paraId="2724FC0E" w14:textId="77777777" w:rsidR="0051780C" w:rsidRPr="00962376" w:rsidRDefault="0051780C" w:rsidP="0051780C">
      <w:pPr>
        <w:autoSpaceDE w:val="0"/>
        <w:autoSpaceDN w:val="0"/>
        <w:adjustRightInd w:val="0"/>
        <w:rPr>
          <w:rFonts w:cs="Arial"/>
          <w:szCs w:val="22"/>
          <w:lang w:val="en-GB"/>
        </w:rPr>
      </w:pPr>
    </w:p>
    <w:p w14:paraId="50E67A5B" w14:textId="77777777" w:rsidR="0051780C" w:rsidRPr="00E10D8F" w:rsidRDefault="0051780C" w:rsidP="00997D23">
      <w:pPr>
        <w:pStyle w:val="Heading1"/>
      </w:pPr>
      <w:bookmarkStart w:id="270" w:name="_Toc466903393"/>
      <w:bookmarkStart w:id="271" w:name="_Toc466909058"/>
      <w:bookmarkStart w:id="272" w:name="_Toc466986174"/>
      <w:bookmarkStart w:id="273" w:name="_Toc466986227"/>
      <w:bookmarkStart w:id="274" w:name="_Toc467052893"/>
      <w:bookmarkStart w:id="275" w:name="_Toc467064045"/>
      <w:bookmarkStart w:id="276" w:name="_Toc467064492"/>
      <w:bookmarkStart w:id="277" w:name="_Toc467077499"/>
      <w:bookmarkStart w:id="278" w:name="_Toc477274225"/>
      <w:r w:rsidRPr="00552334">
        <w:t>5</w:t>
      </w:r>
      <w:r w:rsidRPr="00552334">
        <w:tab/>
        <w:t>Dietary exposure</w:t>
      </w:r>
      <w:r w:rsidRPr="00E10D8F">
        <w:t xml:space="preserve"> assessment</w:t>
      </w:r>
      <w:bookmarkEnd w:id="270"/>
      <w:bookmarkEnd w:id="271"/>
      <w:bookmarkEnd w:id="272"/>
      <w:bookmarkEnd w:id="273"/>
      <w:bookmarkEnd w:id="274"/>
      <w:bookmarkEnd w:id="275"/>
      <w:bookmarkEnd w:id="276"/>
      <w:bookmarkEnd w:id="277"/>
      <w:bookmarkEnd w:id="278"/>
    </w:p>
    <w:p w14:paraId="34F0C3A9" w14:textId="0C755EEE" w:rsidR="0051780C" w:rsidRPr="00552334" w:rsidRDefault="000E6116" w:rsidP="00B14D36">
      <w:pPr>
        <w:pStyle w:val="Heading2"/>
      </w:pPr>
      <w:bookmarkStart w:id="279" w:name="_Toc466903394"/>
      <w:bookmarkStart w:id="280" w:name="_Toc466909059"/>
      <w:bookmarkStart w:id="281" w:name="_Toc466986175"/>
      <w:bookmarkStart w:id="282" w:name="_Toc466986228"/>
      <w:bookmarkStart w:id="283" w:name="_Toc467052894"/>
      <w:bookmarkStart w:id="284" w:name="_Toc467064046"/>
      <w:bookmarkStart w:id="285" w:name="_Toc467064493"/>
      <w:bookmarkStart w:id="286" w:name="_Toc467077500"/>
      <w:bookmarkStart w:id="287" w:name="_Toc477274226"/>
      <w:r>
        <w:t>5.1</w:t>
      </w:r>
      <w:r w:rsidR="0051780C">
        <w:tab/>
      </w:r>
      <w:r w:rsidR="0051780C" w:rsidRPr="00552334">
        <w:t>Background</w:t>
      </w:r>
      <w:bookmarkEnd w:id="279"/>
      <w:bookmarkEnd w:id="280"/>
      <w:bookmarkEnd w:id="281"/>
      <w:bookmarkEnd w:id="282"/>
      <w:bookmarkEnd w:id="283"/>
      <w:bookmarkEnd w:id="284"/>
      <w:bookmarkEnd w:id="285"/>
      <w:bookmarkEnd w:id="286"/>
      <w:bookmarkEnd w:id="287"/>
    </w:p>
    <w:p w14:paraId="138EF2A1" w14:textId="77777777" w:rsidR="0051780C" w:rsidRPr="00E10D8F" w:rsidRDefault="0051780C" w:rsidP="0051780C">
      <w:pPr>
        <w:rPr>
          <w:lang w:val="en-GB" w:bidi="ar-SA"/>
        </w:rPr>
      </w:pPr>
      <w:r w:rsidRPr="00552334">
        <w:rPr>
          <w:lang w:val="en-GB" w:bidi="ar-SA"/>
        </w:rPr>
        <w:t>Dietary exposure to a novel food/ingredient such as plant sterols</w:t>
      </w:r>
      <w:r w:rsidRPr="00552334">
        <w:rPr>
          <w:rStyle w:val="FootnoteReference"/>
          <w:lang w:val="en-GB" w:bidi="ar-SA"/>
        </w:rPr>
        <w:footnoteReference w:id="3"/>
      </w:r>
      <w:r w:rsidRPr="00552334">
        <w:rPr>
          <w:lang w:val="en-GB" w:bidi="ar-SA"/>
        </w:rPr>
        <w:t xml:space="preserve"> is calculated from (1) the concentration of the ingredient in the foods requested and (2) consumption data for the foods that have been collected through a national nutrition survey. The methodology for conducting dietary exposure assessments (DEAs</w:t>
      </w:r>
      <w:r w:rsidRPr="00E10D8F">
        <w:rPr>
          <w:lang w:val="en-GB" w:bidi="ar-SA"/>
        </w:rPr>
        <w:t>) has been established at FSANZ. Details are provided in Appendix 1.</w:t>
      </w:r>
    </w:p>
    <w:p w14:paraId="6DFEC1DC" w14:textId="77777777" w:rsidR="0051780C" w:rsidRPr="00552334" w:rsidRDefault="0051780C" w:rsidP="0051780C">
      <w:pPr>
        <w:rPr>
          <w:lang w:val="en-GB" w:bidi="ar-SA"/>
        </w:rPr>
      </w:pPr>
    </w:p>
    <w:p w14:paraId="615FF7AD" w14:textId="77777777" w:rsidR="0051780C" w:rsidRPr="00552334" w:rsidRDefault="0051780C" w:rsidP="0051780C">
      <w:pPr>
        <w:rPr>
          <w:lang w:val="en-GB" w:bidi="ar-SA"/>
        </w:rPr>
      </w:pPr>
      <w:r w:rsidRPr="00552334">
        <w:rPr>
          <w:lang w:val="en-GB" w:bidi="ar-SA"/>
        </w:rPr>
        <w:t>Generally, predicting dietary exposure to a novel ingredient using food consumption amounts reported in national nutrition surveys (NNSs) could be done by assuming:</w:t>
      </w:r>
    </w:p>
    <w:p w14:paraId="39AD911F" w14:textId="77777777" w:rsidR="0051780C" w:rsidRPr="00552334" w:rsidRDefault="0051780C" w:rsidP="0051780C">
      <w:pPr>
        <w:rPr>
          <w:lang w:val="en-GB" w:bidi="ar-SA"/>
        </w:rPr>
      </w:pPr>
    </w:p>
    <w:p w14:paraId="52A533F8" w14:textId="5EB432FB" w:rsidR="0051780C" w:rsidRDefault="0051780C" w:rsidP="0051780C">
      <w:pPr>
        <w:pStyle w:val="ListParagraph"/>
        <w:numPr>
          <w:ilvl w:val="0"/>
          <w:numId w:val="42"/>
        </w:numPr>
        <w:ind w:left="567" w:hanging="567"/>
        <w:rPr>
          <w:lang w:val="en-GB" w:eastAsia="en-AU" w:bidi="ar-SA"/>
        </w:rPr>
      </w:pPr>
      <w:r>
        <w:rPr>
          <w:lang w:val="en-GB" w:eastAsia="en-AU" w:bidi="ar-SA"/>
        </w:rPr>
        <w:t>a</w:t>
      </w:r>
      <w:r w:rsidRPr="00962376">
        <w:rPr>
          <w:lang w:val="en-GB" w:eastAsia="en-AU" w:bidi="ar-SA"/>
        </w:rPr>
        <w:t xml:space="preserve">ll foods that are permitted and requested to be permitted to contain the novel </w:t>
      </w:r>
      <w:r w:rsidR="00F30DEC">
        <w:rPr>
          <w:lang w:val="en-GB" w:eastAsia="en-AU" w:bidi="ar-SA"/>
        </w:rPr>
        <w:t xml:space="preserve">ingredient do indeed contain it; </w:t>
      </w:r>
      <w:r w:rsidRPr="00962376">
        <w:rPr>
          <w:lang w:val="en-GB" w:eastAsia="en-AU" w:bidi="ar-SA"/>
        </w:rPr>
        <w:t>or</w:t>
      </w:r>
    </w:p>
    <w:p w14:paraId="26C7858A" w14:textId="77777777" w:rsidR="0051780C" w:rsidRPr="00962376" w:rsidRDefault="0051780C" w:rsidP="0051780C">
      <w:pPr>
        <w:pStyle w:val="ListParagraph"/>
        <w:ind w:left="567"/>
        <w:rPr>
          <w:lang w:val="en-GB" w:eastAsia="en-AU" w:bidi="ar-SA"/>
        </w:rPr>
      </w:pPr>
    </w:p>
    <w:p w14:paraId="4F5ACDCF" w14:textId="77777777" w:rsidR="0051780C" w:rsidRPr="00962376" w:rsidRDefault="0051780C" w:rsidP="0051780C">
      <w:pPr>
        <w:pStyle w:val="ListParagraph"/>
        <w:numPr>
          <w:ilvl w:val="0"/>
          <w:numId w:val="42"/>
        </w:numPr>
        <w:ind w:left="567" w:hanging="567"/>
        <w:rPr>
          <w:lang w:val="en-GB" w:eastAsia="en-AU" w:bidi="ar-SA"/>
        </w:rPr>
      </w:pPr>
      <w:r>
        <w:rPr>
          <w:lang w:val="en-GB" w:eastAsia="en-AU" w:bidi="ar-SA"/>
        </w:rPr>
        <w:t>o</w:t>
      </w:r>
      <w:r w:rsidRPr="00962376">
        <w:rPr>
          <w:lang w:val="en-GB" w:eastAsia="en-AU" w:bidi="ar-SA"/>
        </w:rPr>
        <w:t>nly a proportion of these foods contain the novel ingredient, with the proportion determined based on predicted market share for the foods likely to contain the novel ingredient (‘a market share model’).</w:t>
      </w:r>
    </w:p>
    <w:p w14:paraId="69964D65" w14:textId="77777777" w:rsidR="0051780C" w:rsidRPr="00552334" w:rsidRDefault="0051780C" w:rsidP="0051780C">
      <w:pPr>
        <w:rPr>
          <w:lang w:val="en-GB" w:bidi="ar-SA"/>
        </w:rPr>
      </w:pPr>
    </w:p>
    <w:p w14:paraId="46241BAB" w14:textId="77777777" w:rsidR="0051780C" w:rsidRPr="00552334" w:rsidRDefault="0051780C" w:rsidP="0051780C">
      <w:pPr>
        <w:rPr>
          <w:lang w:val="en-GB" w:bidi="ar-SA"/>
        </w:rPr>
      </w:pPr>
      <w:r w:rsidRPr="00552334">
        <w:rPr>
          <w:lang w:val="en-GB" w:bidi="ar-SA"/>
        </w:rPr>
        <w:t xml:space="preserve">The first assumption will provide a conservative exposure estimate for the whole population because, in reality, only a subset of foods permitted to contain plant sterols will actually contain them and only some people will choose these products. The second assumption gives an estimate of long-term exposure to plant sterols across the population as a whole, taking into account consumers and non-consumers of plant sterols. However, market share estimates are unlikely to reflect consumption patterns among those individuals who are regular and/or brand loyal consumers of foods with added plant sterols. Neither approach estimates dietary exposure in those consumers who deliberately alter their eating habits to include the manufacturers recommended number of serves of foods with added plant sterols. </w:t>
      </w:r>
    </w:p>
    <w:p w14:paraId="72465240" w14:textId="77777777" w:rsidR="0051780C" w:rsidRPr="00552334" w:rsidRDefault="0051780C" w:rsidP="0051780C">
      <w:pPr>
        <w:rPr>
          <w:lang w:val="en-GB" w:bidi="ar-SA"/>
        </w:rPr>
      </w:pPr>
    </w:p>
    <w:p w14:paraId="0ECE4702" w14:textId="77777777" w:rsidR="0051780C" w:rsidRDefault="0051780C" w:rsidP="0051780C">
      <w:pPr>
        <w:rPr>
          <w:lang w:val="en-GB" w:bidi="ar-SA"/>
        </w:rPr>
      </w:pPr>
      <w:r w:rsidRPr="00E10D8F">
        <w:rPr>
          <w:lang w:val="en-GB" w:bidi="ar-SA"/>
        </w:rPr>
        <w:t xml:space="preserve">For these reasons, recent comprehensive DEAs for plant sterols added to foods reported in previous applications, particularly Applications A1019 </w:t>
      </w:r>
      <w:r w:rsidRPr="00E10D8F">
        <w:rPr>
          <w:lang w:val="en-GB" w:bidi="ar-SA"/>
        </w:rPr>
        <w:fldChar w:fldCharType="begin" w:fldLock="1"/>
      </w:r>
      <w:r w:rsidRPr="00552334">
        <w:rPr>
          <w:lang w:val="en-GB" w:bidi="ar-SA"/>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2010b)", "plainTextFormattedCitation" : "(FSANZ 2010b)", "previouslyFormattedCitation" : "(FSANZ 2010b)" }, "properties" : { "noteIndex" : 0 }, "schema" : "https://github.com/citation-style-language/schema/raw/master/csl-citation.json" }</w:instrText>
      </w:r>
      <w:r w:rsidRPr="00E10D8F">
        <w:rPr>
          <w:lang w:val="en-GB" w:bidi="ar-SA"/>
        </w:rPr>
        <w:fldChar w:fldCharType="separate"/>
      </w:r>
      <w:r w:rsidRPr="00E10D8F">
        <w:rPr>
          <w:noProof/>
          <w:lang w:val="en-GB" w:bidi="ar-SA"/>
        </w:rPr>
        <w:t>(FSANZ 2010b)</w:t>
      </w:r>
      <w:r w:rsidRPr="00E10D8F">
        <w:rPr>
          <w:lang w:val="en-GB" w:bidi="ar-SA"/>
        </w:rPr>
        <w:fldChar w:fldCharType="end"/>
      </w:r>
      <w:r w:rsidRPr="00552334">
        <w:rPr>
          <w:lang w:val="en-GB" w:bidi="ar-SA"/>
        </w:rPr>
        <w:t xml:space="preserve"> and A1024 </w:t>
      </w:r>
      <w:r w:rsidRPr="00E10D8F">
        <w:rPr>
          <w:lang w:val="en-GB" w:bidi="ar-SA"/>
        </w:rPr>
        <w:fldChar w:fldCharType="begin" w:fldLock="1"/>
      </w:r>
      <w:r w:rsidRPr="00552334">
        <w:rPr>
          <w:lang w:val="en-GB" w:bidi="ar-SA"/>
        </w:rPr>
        <w:instrText>ADDIN CSL_CITATION { "citationItems" : [ { "id" : "ITEM-1", "itemData" : { "author" : [ { "dropping-particle" : "", "family" : "FSANZ", "given" : "", "non-dropping-particle" : "", "parse-names" : false, "suffix" : "" } ], "id" : "ITEM-1", "issued" : { "date-parts" : [ [ "2010" ] ] }, "number-of-pages" : "58", "publisher-place" : "Canberra", "title" : "Supporting document 1 - Risk Assessment Report. Application A1024 - Equivalence of Plant Stanols, Sterols &amp; their Fatty Acids Esters", "type" : "report" }, "uris" : [ "http://www.mendeley.com/documents/?uuid=1e50373d-6fdc-4d1f-aa1b-cc5e1d92ac11" ] } ], "mendeley" : { "formattedCitation" : "(FSANZ 2010a)", "plainTextFormattedCitation" : "(FSANZ 2010a)", "previouslyFormattedCitation" : "(FSANZ 2010a)" }, "properties" : { "noteIndex" : 0 }, "schema" : "https://github.com/citation-style-language/schema/raw/master/csl-citation.json" }</w:instrText>
      </w:r>
      <w:r w:rsidRPr="00E10D8F">
        <w:rPr>
          <w:lang w:val="en-GB" w:bidi="ar-SA"/>
        </w:rPr>
        <w:fldChar w:fldCharType="separate"/>
      </w:r>
      <w:r w:rsidRPr="00E10D8F">
        <w:rPr>
          <w:noProof/>
          <w:lang w:val="en-GB" w:bidi="ar-SA"/>
        </w:rPr>
        <w:t>(FSANZ 2010a)</w:t>
      </w:r>
      <w:r w:rsidRPr="00E10D8F">
        <w:rPr>
          <w:lang w:val="en-GB" w:bidi="ar-SA"/>
        </w:rPr>
        <w:fldChar w:fldCharType="end"/>
      </w:r>
      <w:r w:rsidRPr="00552334">
        <w:rPr>
          <w:lang w:val="en-GB" w:bidi="ar-SA"/>
        </w:rPr>
        <w:t xml:space="preserve"> were mainly based on:</w:t>
      </w:r>
    </w:p>
    <w:p w14:paraId="1A86BE78" w14:textId="77777777" w:rsidR="0051780C" w:rsidRPr="00552334" w:rsidRDefault="0051780C" w:rsidP="0051780C">
      <w:pPr>
        <w:rPr>
          <w:lang w:val="en-GB" w:bidi="ar-SA"/>
        </w:rPr>
      </w:pPr>
    </w:p>
    <w:p w14:paraId="3E45B18C" w14:textId="77777777" w:rsidR="0051780C" w:rsidRDefault="0051780C" w:rsidP="0051780C">
      <w:pPr>
        <w:pStyle w:val="FSBullet1"/>
        <w:rPr>
          <w:lang w:val="en-GB"/>
        </w:rPr>
      </w:pPr>
      <w:r w:rsidRPr="00552334">
        <w:rPr>
          <w:lang w:val="en-GB"/>
        </w:rPr>
        <w:t>assessing the dietary exposure to plant sterols from the recommended number of serves of different foods containing plant sterols</w:t>
      </w:r>
    </w:p>
    <w:p w14:paraId="142E7EBC" w14:textId="77777777" w:rsidR="00724D8F" w:rsidRDefault="00724D8F" w:rsidP="0051780C">
      <w:pPr>
        <w:pStyle w:val="FSBullet1"/>
        <w:rPr>
          <w:lang w:val="en-GB"/>
        </w:rPr>
      </w:pPr>
      <w:r>
        <w:rPr>
          <w:lang w:val="en-GB"/>
        </w:rPr>
        <w:br w:type="page"/>
      </w:r>
    </w:p>
    <w:p w14:paraId="12B92B4B" w14:textId="35D053E0" w:rsidR="0051780C" w:rsidRPr="00552334" w:rsidRDefault="0051780C" w:rsidP="0051780C">
      <w:pPr>
        <w:pStyle w:val="FSBullet1"/>
        <w:rPr>
          <w:lang w:val="en-GB"/>
        </w:rPr>
      </w:pPr>
      <w:r w:rsidRPr="00552334">
        <w:rPr>
          <w:lang w:val="en-GB"/>
        </w:rPr>
        <w:lastRenderedPageBreak/>
        <w:t xml:space="preserve">analysing consumption data from </w:t>
      </w:r>
      <w:r w:rsidRPr="00E10D8F">
        <w:rPr>
          <w:lang w:val="en-GB"/>
        </w:rPr>
        <w:t>NNSs</w:t>
      </w:r>
      <w:r w:rsidRPr="00552334">
        <w:rPr>
          <w:lang w:val="en-GB"/>
        </w:rPr>
        <w:t xml:space="preserve"> and calculating the mean and 95</w:t>
      </w:r>
      <w:r w:rsidRPr="00552334">
        <w:rPr>
          <w:vertAlign w:val="superscript"/>
          <w:lang w:val="en-GB"/>
        </w:rPr>
        <w:t>th</w:t>
      </w:r>
      <w:r w:rsidRPr="00552334">
        <w:rPr>
          <w:lang w:val="en-GB"/>
        </w:rPr>
        <w:t xml:space="preserve">-percentile dietary exposure to plant sterols that could be experienced if conventional products (e.g. edible oil spreads, breakfast cereal, low fat milk, low fat yoghurt and cheese </w:t>
      </w:r>
      <w:r w:rsidRPr="00F935CA">
        <w:rPr>
          <w:lang w:val="en-GB"/>
        </w:rPr>
        <w:fldChar w:fldCharType="begin" w:fldLock="1"/>
      </w:r>
      <w:r w:rsidRPr="00552334">
        <w:rPr>
          <w:lang w:val="en-GB"/>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2010b)", "plainTextFormattedCitation" : "(FSANZ 2010b)", "previouslyFormattedCitation" : "(FSANZ 2010b)" }, "properties" : { "noteIndex" : 0 }, "schema" : "https://github.com/citation-style-language/schema/raw/master/csl-citation.json" }</w:instrText>
      </w:r>
      <w:r w:rsidRPr="00F935CA">
        <w:rPr>
          <w:lang w:val="en-GB"/>
        </w:rPr>
        <w:fldChar w:fldCharType="separate"/>
      </w:r>
      <w:r w:rsidRPr="00552334">
        <w:rPr>
          <w:noProof/>
          <w:lang w:val="en-GB"/>
        </w:rPr>
        <w:t>(FSANZ 2010b)</w:t>
      </w:r>
      <w:r w:rsidRPr="00F935CA">
        <w:rPr>
          <w:lang w:val="en-GB"/>
        </w:rPr>
        <w:fldChar w:fldCharType="end"/>
      </w:r>
      <w:r w:rsidRPr="00552334">
        <w:rPr>
          <w:lang w:val="en-GB"/>
        </w:rPr>
        <w:t xml:space="preserve"> were substituted with plant sterol-containing products.</w:t>
      </w:r>
    </w:p>
    <w:p w14:paraId="64BE9125" w14:textId="77777777" w:rsidR="0051780C" w:rsidRPr="00552334" w:rsidRDefault="0051780C" w:rsidP="0051780C">
      <w:pPr>
        <w:rPr>
          <w:lang w:val="en-GB" w:bidi="ar-SA"/>
        </w:rPr>
      </w:pPr>
    </w:p>
    <w:p w14:paraId="7DD31B6B" w14:textId="77777777" w:rsidR="0051780C" w:rsidRPr="00552334" w:rsidRDefault="0051780C" w:rsidP="0051780C">
      <w:pPr>
        <w:rPr>
          <w:lang w:val="en-GB" w:bidi="ar-SA"/>
        </w:rPr>
      </w:pPr>
      <w:r w:rsidRPr="00552334">
        <w:rPr>
          <w:lang w:val="en-GB" w:bidi="ar-SA"/>
        </w:rPr>
        <w:t>Both 2010 assessments concluded that there was no public health risks associated with consumption of foods with added plant sterols in target or non-target populations. However, because only limited foods with added plant sterols were available at the time of the NNSs used for previous exposure assessments, the DEA for these Applications could not estimate plant sterol exposures for persons reported as consuming food with added plant sterols.</w:t>
      </w:r>
    </w:p>
    <w:p w14:paraId="26CFD60D" w14:textId="77777777" w:rsidR="0051780C" w:rsidRPr="00552334" w:rsidRDefault="0051780C" w:rsidP="0051780C">
      <w:pPr>
        <w:rPr>
          <w:lang w:val="en-GB" w:bidi="ar-SA"/>
        </w:rPr>
      </w:pPr>
    </w:p>
    <w:p w14:paraId="0E538612" w14:textId="1C8ECE01" w:rsidR="0051780C" w:rsidRPr="00552334" w:rsidRDefault="0051780C" w:rsidP="0051780C">
      <w:pPr>
        <w:rPr>
          <w:lang w:val="en-GB" w:bidi="ar-SA"/>
        </w:rPr>
      </w:pPr>
      <w:r w:rsidRPr="00552334">
        <w:rPr>
          <w:lang w:val="en-GB" w:bidi="ar-SA"/>
        </w:rPr>
        <w:t>Consumption data for foods with added plant sterols have now become available through more recent NNSs (2011–12 Australian National Nutrition and Physical Activity Survey (NNPAS), 2008-09 New Zealand Adult Nutrition Survey)</w:t>
      </w:r>
      <w:r w:rsidR="009D42AB">
        <w:rPr>
          <w:lang w:val="en-GB" w:bidi="ar-SA"/>
        </w:rPr>
        <w:t>,</w:t>
      </w:r>
      <w:r w:rsidRPr="00552334">
        <w:rPr>
          <w:lang w:val="en-GB" w:bidi="ar-SA"/>
        </w:rPr>
        <w:t xml:space="preserve"> which were used in this assessment. </w:t>
      </w:r>
    </w:p>
    <w:p w14:paraId="354B0FBF" w14:textId="77777777" w:rsidR="0051780C" w:rsidRPr="00F935CA" w:rsidRDefault="0051780C" w:rsidP="00B14D36">
      <w:pPr>
        <w:pStyle w:val="Heading2"/>
      </w:pPr>
      <w:bookmarkStart w:id="288" w:name="_Toc466903395"/>
      <w:bookmarkStart w:id="289" w:name="_Toc466909060"/>
      <w:bookmarkStart w:id="290" w:name="_Toc466986176"/>
      <w:bookmarkStart w:id="291" w:name="_Toc466986229"/>
      <w:bookmarkStart w:id="292" w:name="_Toc467052895"/>
      <w:bookmarkStart w:id="293" w:name="_Toc467064047"/>
      <w:bookmarkStart w:id="294" w:name="_Toc467064494"/>
      <w:bookmarkStart w:id="295" w:name="_Toc467077501"/>
      <w:bookmarkStart w:id="296" w:name="_Toc477274227"/>
      <w:r w:rsidRPr="00F935CA">
        <w:t>5.2</w:t>
      </w:r>
      <w:r w:rsidRPr="00F935CA">
        <w:tab/>
        <w:t xml:space="preserve">Objective and </w:t>
      </w:r>
      <w:r>
        <w:t>a</w:t>
      </w:r>
      <w:r w:rsidRPr="00F935CA">
        <w:t>pproach</w:t>
      </w:r>
      <w:bookmarkEnd w:id="288"/>
      <w:bookmarkEnd w:id="289"/>
      <w:bookmarkEnd w:id="290"/>
      <w:bookmarkEnd w:id="291"/>
      <w:bookmarkEnd w:id="292"/>
      <w:bookmarkEnd w:id="293"/>
      <w:bookmarkEnd w:id="294"/>
      <w:bookmarkEnd w:id="295"/>
      <w:bookmarkEnd w:id="296"/>
      <w:r w:rsidRPr="00F935CA">
        <w:t xml:space="preserve"> </w:t>
      </w:r>
    </w:p>
    <w:p w14:paraId="1BA7D680" w14:textId="12C0351B" w:rsidR="0051780C" w:rsidRPr="00962376" w:rsidRDefault="0051780C" w:rsidP="0051780C">
      <w:pPr>
        <w:rPr>
          <w:lang w:val="en-GB" w:eastAsia="en-AU" w:bidi="ar-SA"/>
        </w:rPr>
      </w:pPr>
      <w:r w:rsidRPr="00962376">
        <w:rPr>
          <w:lang w:val="en-GB" w:eastAsia="en-AU" w:bidi="ar-SA"/>
        </w:rPr>
        <w:t>This DEA estimate</w:t>
      </w:r>
      <w:r w:rsidR="0096451B">
        <w:rPr>
          <w:lang w:val="en-GB" w:eastAsia="en-AU" w:bidi="ar-SA"/>
        </w:rPr>
        <w:t>s</w:t>
      </w:r>
      <w:r w:rsidRPr="00962376">
        <w:rPr>
          <w:lang w:val="en-GB" w:eastAsia="en-AU" w:bidi="ar-SA"/>
        </w:rPr>
        <w:t xml:space="preserve"> plant sterol exposure from foods which contain added plant sterols. Baseline dietary exposure was estimated from the consumption of plant sterol-containing foods as reported in recent NNSs for Australian and New Zealand populations assuming they contained added plant sterols at the proposed maximum permitted amount. The Applicant requested permission to add plant sterols to breakfast cereals at a content of no less than 0.8 g and no more than 2 g per serve. </w:t>
      </w:r>
      <w:r w:rsidRPr="00962376">
        <w:rPr>
          <w:rFonts w:cs="Arial"/>
          <w:szCs w:val="22"/>
          <w:lang w:val="en-GB" w:eastAsia="en-GB" w:bidi="ar-SA"/>
        </w:rPr>
        <w:t xml:space="preserve">The maximum of 2.2 g total plant sterol per serving provides for an </w:t>
      </w:r>
      <w:r w:rsidRPr="00962376">
        <w:rPr>
          <w:rFonts w:cs="Arial"/>
          <w:i/>
          <w:szCs w:val="22"/>
          <w:lang w:val="en-GB" w:eastAsia="en-GB" w:bidi="ar-SA"/>
        </w:rPr>
        <w:t>average quantity</w:t>
      </w:r>
      <w:r w:rsidRPr="00962376">
        <w:rPr>
          <w:rFonts w:cs="Arial"/>
          <w:szCs w:val="22"/>
          <w:lang w:val="en-GB" w:eastAsia="en-GB" w:bidi="ar-SA"/>
        </w:rPr>
        <w:t xml:space="preserve"> of 2 g per serving to be declared without needing to exceed the maximum permitted amount of 2 g per serving on some occasions (see Call for Submissions paper). Therefore, dietary exposures were calculated using 2.2 g/serving as a </w:t>
      </w:r>
      <w:r w:rsidR="007A1A7D">
        <w:rPr>
          <w:rFonts w:cs="Arial"/>
          <w:szCs w:val="22"/>
          <w:lang w:val="en-GB" w:eastAsia="en-GB" w:bidi="ar-SA"/>
        </w:rPr>
        <w:t>conservative estimate</w:t>
      </w:r>
      <w:r w:rsidRPr="00962376">
        <w:rPr>
          <w:rFonts w:cs="Arial"/>
          <w:szCs w:val="22"/>
          <w:lang w:val="en-GB" w:eastAsia="en-GB" w:bidi="ar-SA"/>
        </w:rPr>
        <w:t>.</w:t>
      </w:r>
    </w:p>
    <w:p w14:paraId="10DCA440" w14:textId="77777777" w:rsidR="0051780C" w:rsidRPr="00962376" w:rsidRDefault="0051780C" w:rsidP="0051780C">
      <w:pPr>
        <w:rPr>
          <w:lang w:val="en-GB" w:eastAsia="en-AU" w:bidi="ar-SA"/>
        </w:rPr>
      </w:pPr>
    </w:p>
    <w:p w14:paraId="7B95E41E" w14:textId="77777777" w:rsidR="0051780C" w:rsidRDefault="0051780C" w:rsidP="0051780C">
      <w:pPr>
        <w:rPr>
          <w:lang w:val="en-GB" w:eastAsia="en-AU" w:bidi="ar-SA"/>
        </w:rPr>
      </w:pPr>
      <w:r w:rsidRPr="00962376">
        <w:rPr>
          <w:lang w:val="en-GB" w:eastAsia="en-AU" w:bidi="ar-SA"/>
        </w:rPr>
        <w:t xml:space="preserve">Two approaches were used: </w:t>
      </w:r>
    </w:p>
    <w:p w14:paraId="405D4DEE" w14:textId="77777777" w:rsidR="0051780C" w:rsidRPr="00962376" w:rsidRDefault="0051780C" w:rsidP="0051780C">
      <w:pPr>
        <w:rPr>
          <w:lang w:val="en-GB" w:eastAsia="en-AU" w:bidi="ar-SA"/>
        </w:rPr>
      </w:pPr>
    </w:p>
    <w:p w14:paraId="5683870A" w14:textId="29019168" w:rsidR="0051780C" w:rsidRDefault="0051780C" w:rsidP="0051780C">
      <w:pPr>
        <w:pStyle w:val="ListParagraph"/>
        <w:numPr>
          <w:ilvl w:val="0"/>
          <w:numId w:val="43"/>
        </w:numPr>
        <w:ind w:left="567" w:hanging="567"/>
        <w:rPr>
          <w:lang w:val="en-GB" w:eastAsia="en-AU" w:bidi="ar-SA"/>
        </w:rPr>
      </w:pPr>
      <w:r>
        <w:rPr>
          <w:lang w:val="en-GB" w:eastAsia="en-AU" w:bidi="ar-SA"/>
        </w:rPr>
        <w:t>e</w:t>
      </w:r>
      <w:r w:rsidRPr="00962376">
        <w:rPr>
          <w:lang w:val="en-GB" w:eastAsia="en-AU" w:bidi="ar-SA"/>
        </w:rPr>
        <w:t xml:space="preserve">stimation of the total predicted dietary exposure based on the baseline exposure and an additional </w:t>
      </w:r>
      <w:r w:rsidR="0040536E">
        <w:rPr>
          <w:lang w:val="en-GB" w:eastAsia="en-AU" w:bidi="ar-SA"/>
        </w:rPr>
        <w:t xml:space="preserve">serving </w:t>
      </w:r>
      <w:r w:rsidRPr="00962376">
        <w:rPr>
          <w:lang w:val="en-GB" w:eastAsia="en-AU" w:bidi="ar-SA"/>
        </w:rPr>
        <w:t xml:space="preserve">of </w:t>
      </w:r>
      <w:r w:rsidR="0040536E">
        <w:rPr>
          <w:lang w:val="en-GB" w:eastAsia="en-AU" w:bidi="ar-SA"/>
        </w:rPr>
        <w:t>portion-controlled</w:t>
      </w:r>
      <w:r w:rsidRPr="00962376">
        <w:rPr>
          <w:lang w:val="en-GB" w:eastAsia="en-AU" w:bidi="ar-SA"/>
        </w:rPr>
        <w:t xml:space="preserve"> breakfast cereals which contained 2.2 g plant sterols per serve (the per portion approach for Australian and New Zealand populations); </w:t>
      </w:r>
    </w:p>
    <w:p w14:paraId="0EE073D6" w14:textId="77777777" w:rsidR="0051780C" w:rsidRPr="00962376" w:rsidRDefault="0051780C" w:rsidP="00F0687E">
      <w:pPr>
        <w:pStyle w:val="ListParagraph"/>
        <w:ind w:left="567"/>
        <w:rPr>
          <w:lang w:val="en-GB" w:eastAsia="en-AU" w:bidi="ar-SA"/>
        </w:rPr>
      </w:pPr>
    </w:p>
    <w:p w14:paraId="53C88D1E" w14:textId="77777777" w:rsidR="0051780C" w:rsidRPr="00962376" w:rsidRDefault="0051780C" w:rsidP="0051780C">
      <w:pPr>
        <w:pStyle w:val="ListParagraph"/>
        <w:numPr>
          <w:ilvl w:val="0"/>
          <w:numId w:val="43"/>
        </w:numPr>
        <w:ind w:left="567" w:hanging="567"/>
        <w:rPr>
          <w:lang w:val="en-GB" w:eastAsia="en-AU" w:bidi="ar-SA"/>
        </w:rPr>
      </w:pPr>
      <w:r>
        <w:rPr>
          <w:lang w:val="en-GB" w:eastAsia="en-AU" w:bidi="ar-SA"/>
        </w:rPr>
        <w:t>e</w:t>
      </w:r>
      <w:r w:rsidRPr="00962376">
        <w:rPr>
          <w:lang w:val="en-GB" w:eastAsia="en-AU" w:bidi="ar-SA"/>
        </w:rPr>
        <w:t xml:space="preserve">stimation of the total predicted dietary exposure by scenario modelling based on the baseline exposure and additional plant sterol exposure from breakfast cereal consumption, where the amount of plant sterols added to breakfast cereal was based on 2.2 g/serve but calculated on a per kg of cereal basis (the scenario modelling approach for the Australian population). </w:t>
      </w:r>
    </w:p>
    <w:p w14:paraId="4FDA9077" w14:textId="77777777" w:rsidR="0051780C" w:rsidRPr="00962376" w:rsidRDefault="0051780C" w:rsidP="0051780C">
      <w:pPr>
        <w:rPr>
          <w:lang w:val="en-GB" w:eastAsia="en-AU" w:bidi="ar-SA"/>
        </w:rPr>
      </w:pPr>
    </w:p>
    <w:p w14:paraId="0EE4F389" w14:textId="77777777" w:rsidR="0051780C" w:rsidRPr="00962376" w:rsidRDefault="0051780C" w:rsidP="0051780C">
      <w:pPr>
        <w:rPr>
          <w:lang w:val="en-GB" w:eastAsia="en-AU" w:bidi="ar-SA"/>
        </w:rPr>
      </w:pPr>
      <w:r w:rsidRPr="00962376">
        <w:rPr>
          <w:lang w:val="en-GB" w:eastAsia="en-AU" w:bidi="ar-SA"/>
        </w:rPr>
        <w:t>The latter approach was a more refined estimation because it was based on breakfast cereal consumption reported in the 2011-12 NNPAS and factors in persons who would consume greater than one serving of breakfast cereal per day.</w:t>
      </w:r>
    </w:p>
    <w:p w14:paraId="005F7B22" w14:textId="77777777" w:rsidR="0051780C" w:rsidRPr="00F935CA" w:rsidRDefault="0051780C" w:rsidP="00B14D36">
      <w:pPr>
        <w:pStyle w:val="Heading2"/>
        <w:rPr>
          <w:lang w:eastAsia="en-AU"/>
        </w:rPr>
      </w:pPr>
      <w:bookmarkStart w:id="297" w:name="_Toc466903396"/>
      <w:bookmarkStart w:id="298" w:name="_Toc466909061"/>
      <w:bookmarkStart w:id="299" w:name="_Toc466986177"/>
      <w:bookmarkStart w:id="300" w:name="_Toc466986230"/>
      <w:bookmarkStart w:id="301" w:name="_Toc467052896"/>
      <w:bookmarkStart w:id="302" w:name="_Toc467064048"/>
      <w:bookmarkStart w:id="303" w:name="_Toc467064495"/>
      <w:bookmarkStart w:id="304" w:name="_Toc467077502"/>
      <w:bookmarkStart w:id="305" w:name="_Toc477274228"/>
      <w:r w:rsidRPr="00F935CA">
        <w:rPr>
          <w:lang w:eastAsia="en-AU"/>
        </w:rPr>
        <w:t>5.3</w:t>
      </w:r>
      <w:r w:rsidRPr="00F935CA">
        <w:rPr>
          <w:lang w:eastAsia="en-AU"/>
        </w:rPr>
        <w:tab/>
        <w:t>Methods</w:t>
      </w:r>
      <w:bookmarkEnd w:id="297"/>
      <w:bookmarkEnd w:id="298"/>
      <w:bookmarkEnd w:id="299"/>
      <w:bookmarkEnd w:id="300"/>
      <w:bookmarkEnd w:id="301"/>
      <w:bookmarkEnd w:id="302"/>
      <w:bookmarkEnd w:id="303"/>
      <w:bookmarkEnd w:id="304"/>
      <w:bookmarkEnd w:id="305"/>
      <w:r w:rsidRPr="00F935CA">
        <w:rPr>
          <w:lang w:eastAsia="en-AU"/>
        </w:rPr>
        <w:t xml:space="preserve"> </w:t>
      </w:r>
    </w:p>
    <w:p w14:paraId="6A0368D8" w14:textId="7B022FAC" w:rsidR="0051780C" w:rsidRPr="00552334" w:rsidRDefault="000E6116" w:rsidP="00B14D36">
      <w:pPr>
        <w:pStyle w:val="Heading3"/>
      </w:pPr>
      <w:bookmarkStart w:id="306" w:name="_Toc466903397"/>
      <w:bookmarkStart w:id="307" w:name="_Toc466909062"/>
      <w:bookmarkStart w:id="308" w:name="_Toc466986178"/>
      <w:bookmarkStart w:id="309" w:name="_Toc466986231"/>
      <w:bookmarkStart w:id="310" w:name="_Toc467052897"/>
      <w:bookmarkStart w:id="311" w:name="_Toc467064049"/>
      <w:bookmarkStart w:id="312" w:name="_Toc467064496"/>
      <w:bookmarkStart w:id="313" w:name="_Toc467077503"/>
      <w:bookmarkStart w:id="314" w:name="_Toc477274229"/>
      <w:r>
        <w:t>5.3.1</w:t>
      </w:r>
      <w:r w:rsidR="0051780C">
        <w:tab/>
      </w:r>
      <w:r w:rsidR="0051780C" w:rsidRPr="00552334">
        <w:t>Food consumption data</w:t>
      </w:r>
      <w:bookmarkEnd w:id="306"/>
      <w:bookmarkEnd w:id="307"/>
      <w:bookmarkEnd w:id="308"/>
      <w:bookmarkEnd w:id="309"/>
      <w:bookmarkEnd w:id="310"/>
      <w:bookmarkEnd w:id="311"/>
      <w:bookmarkEnd w:id="312"/>
      <w:bookmarkEnd w:id="313"/>
      <w:bookmarkEnd w:id="314"/>
    </w:p>
    <w:p w14:paraId="1FDA07BB" w14:textId="77777777" w:rsidR="0051780C" w:rsidRPr="00E10D8F" w:rsidRDefault="0051780C" w:rsidP="0051780C">
      <w:pPr>
        <w:pStyle w:val="Default"/>
        <w:rPr>
          <w:sz w:val="22"/>
          <w:szCs w:val="22"/>
        </w:rPr>
      </w:pPr>
      <w:r w:rsidRPr="00552334">
        <w:rPr>
          <w:sz w:val="22"/>
          <w:szCs w:val="22"/>
        </w:rPr>
        <w:t>Dietary exposure to plant sterols was estimated using food consumption data from the most recent N</w:t>
      </w:r>
      <w:r w:rsidRPr="00E10D8F">
        <w:rPr>
          <w:sz w:val="22"/>
          <w:szCs w:val="22"/>
        </w:rPr>
        <w:t xml:space="preserve">NSs for the Australian and New Zealand populations: </w:t>
      </w:r>
    </w:p>
    <w:p w14:paraId="0A6749F5" w14:textId="77777777" w:rsidR="0051780C" w:rsidRPr="00962376" w:rsidRDefault="0051780C" w:rsidP="0051780C">
      <w:pPr>
        <w:pStyle w:val="ListParagraph"/>
        <w:ind w:left="567"/>
        <w:rPr>
          <w:lang w:val="en-GB"/>
        </w:rPr>
      </w:pPr>
    </w:p>
    <w:p w14:paraId="44BD2710" w14:textId="77777777" w:rsidR="00724D8F" w:rsidRDefault="00724D8F" w:rsidP="0051780C">
      <w:pPr>
        <w:pStyle w:val="ListParagraph"/>
        <w:numPr>
          <w:ilvl w:val="0"/>
          <w:numId w:val="35"/>
        </w:numPr>
        <w:ind w:left="567" w:hanging="567"/>
        <w:rPr>
          <w:b/>
          <w:lang w:val="en-GB"/>
        </w:rPr>
      </w:pPr>
      <w:r>
        <w:rPr>
          <w:b/>
          <w:lang w:val="en-GB"/>
        </w:rPr>
        <w:br w:type="page"/>
      </w:r>
    </w:p>
    <w:p w14:paraId="378CF83F" w14:textId="6051FF54" w:rsidR="0051780C" w:rsidRPr="00962376" w:rsidRDefault="0051780C" w:rsidP="0051780C">
      <w:pPr>
        <w:pStyle w:val="ListParagraph"/>
        <w:numPr>
          <w:ilvl w:val="0"/>
          <w:numId w:val="35"/>
        </w:numPr>
        <w:ind w:left="567" w:hanging="567"/>
        <w:rPr>
          <w:lang w:val="en-GB"/>
        </w:rPr>
      </w:pPr>
      <w:r w:rsidRPr="00962376">
        <w:rPr>
          <w:b/>
          <w:lang w:val="en-GB"/>
        </w:rPr>
        <w:lastRenderedPageBreak/>
        <w:t>2002 New Zealand National Children’s Nutrition Survey</w:t>
      </w:r>
      <w:r w:rsidRPr="00962376">
        <w:rPr>
          <w:lang w:val="en-GB"/>
        </w:rPr>
        <w:t xml:space="preserve"> (2002 NZ NCNS): a 24-hour recall of 3,275 New Zealand children aged 5–14 years, with a second 24-hour recall undertaken for 15% of respondents </w:t>
      </w:r>
      <w:r w:rsidRPr="00962376">
        <w:rPr>
          <w:lang w:val="en-GB"/>
        </w:rPr>
        <w:fldChar w:fldCharType="begin" w:fldLock="1"/>
      </w:r>
      <w:r w:rsidRPr="00962376">
        <w:rPr>
          <w:lang w:val="en-GB"/>
        </w:rPr>
        <w:instrText>ADDIN CSL_CITATION { "citationItems" : [ { "id" : "ITEM-1", "itemData" : { "ISBN" : "ISBN 0-478-25843-7 (Internet)", "author" : [ { "dropping-particle" : "", "family" : "Ministry of Health", "given" : "", "non-dropping-particle" : "", "parse-names" : false, "suffix" : "" } ], "id" : "ITEM-1", "issued" : { "date-parts" : [ [ "2003" ] ] }, "publisher" : "Ministry of Health", "publisher-place" : "Wellington", "title" : "NZ Food NZ Children: Key results of the 2002 National Children's Nutrition Survey", "type" : "report" }, "uris" : [ "http://www.mendeley.com/documents/?uuid=d33427c6-59ef-4865-b193-546c7492886b" ] }, { "id" : "ITEM-2", "itemData" : { "author" : [ { "dropping-particle" : "", "family" : "Ministry of Health", "given" : "", "non-dropping-particle" : "", "parse-names" : false, "suffix" : "" } ], "id" : "ITEM-2", "issued" : { "date-parts" : [ [ "2005" ] ] }, "publisher" : "Ministry of Health", "publisher-place" : "Wellington", "title" : "2002 National Children's Nutrition Survey: National Confidentialised Unit Record File (CURF) User Document", "type" : "report" }, "uris" : [ "http://www.mendeley.com/documents/?uuid=44de2603-b27f-4a97-a0ef-81e23a690f20" ] } ], "mendeley" : { "formattedCitation" : "(Ministry of Health 2003; Ministry of Health 2005)", "plainTextFormattedCitation" : "(Ministry of Health 2003; Ministry of Health 2005)", "previouslyFormattedCitation" : "(Ministry of Health 2003; Ministry of Health 2005)" }, "properties" : { "noteIndex" : 0 }, "schema" : "https://github.com/citation-style-language/schema/raw/master/csl-citation.json" }</w:instrText>
      </w:r>
      <w:r w:rsidRPr="00962376">
        <w:rPr>
          <w:lang w:val="en-GB"/>
        </w:rPr>
        <w:fldChar w:fldCharType="separate"/>
      </w:r>
      <w:r w:rsidRPr="00962376">
        <w:rPr>
          <w:noProof/>
          <w:lang w:val="en-GB"/>
        </w:rPr>
        <w:t>(Ministry of Health 2003; Ministry of Health 2005)</w:t>
      </w:r>
      <w:r w:rsidRPr="00962376">
        <w:rPr>
          <w:lang w:val="en-GB"/>
        </w:rPr>
        <w:fldChar w:fldCharType="end"/>
      </w:r>
    </w:p>
    <w:p w14:paraId="361C643A" w14:textId="77777777" w:rsidR="0051780C" w:rsidRPr="00962376" w:rsidRDefault="0051780C" w:rsidP="0051780C">
      <w:pPr>
        <w:pStyle w:val="ListParagraph"/>
        <w:numPr>
          <w:ilvl w:val="0"/>
          <w:numId w:val="35"/>
        </w:numPr>
        <w:ind w:left="567" w:hanging="567"/>
        <w:rPr>
          <w:lang w:val="en-GB"/>
        </w:rPr>
      </w:pPr>
      <w:r w:rsidRPr="00962376">
        <w:rPr>
          <w:b/>
          <w:lang w:val="en-GB"/>
        </w:rPr>
        <w:t xml:space="preserve">2008–09 New Zealand Adult Nutrition Survey </w:t>
      </w:r>
      <w:r w:rsidRPr="00962376">
        <w:rPr>
          <w:lang w:val="en-GB"/>
        </w:rPr>
        <w:t>(2008 NZ ANS)</w:t>
      </w:r>
      <w:r w:rsidRPr="00962376">
        <w:rPr>
          <w:b/>
          <w:lang w:val="en-GB"/>
        </w:rPr>
        <w:t>:</w:t>
      </w:r>
      <w:r w:rsidRPr="00962376">
        <w:rPr>
          <w:lang w:val="en-GB"/>
        </w:rPr>
        <w:t xml:space="preserve"> a 24-hour recall of 4,721 New Zealanders aged 15 years and above, with a second 24-hour recall undertaken for 25% of respondents </w:t>
      </w:r>
      <w:r w:rsidRPr="00962376">
        <w:rPr>
          <w:lang w:val="en-GB"/>
        </w:rPr>
        <w:fldChar w:fldCharType="begin" w:fldLock="1"/>
      </w:r>
      <w:r w:rsidRPr="00962376">
        <w:rPr>
          <w:lang w:val="en-GB"/>
        </w:rPr>
        <w:instrText>ADDIN CSL_CITATION { "citationItems" : [ { "id" : "ITEM-1", "itemData" : { "ISBN" : "ISBN 978-0-478-37337-0", "author" : [ { "dropping-particle" : "", "family" : "Ministry of Health", "given" : "", "non-dropping-particle" : "", "parse-names" : false, "suffix" : "" } ], "id" : "ITEM-1", "issued" : { "date-parts" : [ [ "2011" ] ] }, "publisher" : "Ministry of Health", "publisher-place" : "Wellington", "title" : "Methodology report for the 2008/09 New Zealand Adult Nutrition Survey", "type" : "report" }, "uris" : [ "http://www.mendeley.com/documents/?uuid=9c5d4915-6bb5-4ae8-a95f-298e8f9439cd" ] }, { "id" : "ITEM-2", "itemData" : { "author" : [ { "dropping-particle" : "", "family" : "University of Otago", "given" : "", "non-dropping-particle" : "", "parse-names" : false, "suffix" : "" }, { "dropping-particle" : "", "family" : "NZ Ministry of Health", "given" : "", "non-dropping-particle" : "", "parse-names" : false, "suffix" : "" } ], "id" : "ITEM-2", "issued" : { "date-parts" : [ [ "2011" ] ] }, "publisher" : "Ministry of Health Wellington, New Zealand", "title" : "A focus on nutrition: key findings of the 2008/09 New Zealand Adult Nutrition Survey", "type" : "report" }, "uris" : [ "http://www.mendeley.com/documents/?uuid=159bb153-8f52-4d95-b316-e622430a54df" ] } ], "mendeley" : { "formattedCitation" : "(Ministry of Health 2011; University of Otago and NZ Ministry of Health 2011)", "plainTextFormattedCitation" : "(Ministry of Health 2011; University of Otago and NZ Ministry of Health 2011)", "previouslyFormattedCitation" : "(Ministry of Health 2011; University of Otago and NZ Ministry of Health 2011)" }, "properties" : { "noteIndex" : 0 }, "schema" : "https://github.com/citation-style-language/schema/raw/master/csl-citation.json" }</w:instrText>
      </w:r>
      <w:r w:rsidRPr="00962376">
        <w:rPr>
          <w:lang w:val="en-GB"/>
        </w:rPr>
        <w:fldChar w:fldCharType="separate"/>
      </w:r>
      <w:r w:rsidRPr="00962376">
        <w:rPr>
          <w:noProof/>
          <w:lang w:val="en-GB"/>
        </w:rPr>
        <w:t>(Ministry of Health 2011; University of Otago and NZ Ministry of Health 2011)</w:t>
      </w:r>
      <w:r w:rsidRPr="00962376">
        <w:rPr>
          <w:lang w:val="en-GB"/>
        </w:rPr>
        <w:fldChar w:fldCharType="end"/>
      </w:r>
    </w:p>
    <w:p w14:paraId="7A3DC8A7" w14:textId="77777777" w:rsidR="0051780C" w:rsidRPr="00962376" w:rsidRDefault="0051780C" w:rsidP="0051780C">
      <w:pPr>
        <w:pStyle w:val="ListParagraph"/>
        <w:numPr>
          <w:ilvl w:val="0"/>
          <w:numId w:val="35"/>
        </w:numPr>
        <w:ind w:left="567" w:hanging="567"/>
        <w:rPr>
          <w:lang w:val="en-GB"/>
        </w:rPr>
      </w:pPr>
      <w:r w:rsidRPr="00962376">
        <w:rPr>
          <w:b/>
          <w:lang w:val="en-GB"/>
        </w:rPr>
        <w:t>2011–12 Australian National Nutrition and Physical Activity Survey</w:t>
      </w:r>
      <w:r w:rsidRPr="00962376">
        <w:rPr>
          <w:lang w:val="en-GB"/>
        </w:rPr>
        <w:t xml:space="preserve"> (2011-12 NNPAS), a component of the 2011–13 Australian Health Survey (AHS): a 24-hour recall of 12,153 Australians aged 2 years and above, with a second 24-hour recall undertaken for 64% of respondents </w:t>
      </w:r>
      <w:r w:rsidRPr="00962376">
        <w:rPr>
          <w:lang w:val="en-GB"/>
        </w:rPr>
        <w:fldChar w:fldCharType="begin" w:fldLock="1"/>
      </w:r>
      <w:r w:rsidRPr="00962376">
        <w:rPr>
          <w:lang w:val="en-GB"/>
        </w:rPr>
        <w:instrText>ADDIN CSL_CITATION { "citationItems" : [ { "id" : "ITEM-1", "itemData" : { "author" : [ { "dropping-particle" : "", "family" : "ABS", "given" : "", "non-dropping-particle" : "", "parse-names" : false, "suffix" : "" } ], "id" : "ITEM-1", "issued" : { "date-parts" : [ [ "2014" ] ] }, "publisher" : "Australian Government", "publisher-place" : "Canberra", "title" : "National Nutrition and Physical Activity Survey, 2011-12, Basic CURF", "type" : "report" }, "uris" : [ "http://www.mendeley.com/documents/?uuid=7f4b46e4-3288-4345-aec0-b4cc73af355e" ] } ], "mendeley" : { "formattedCitation" : "(ABS 2014)", "plainTextFormattedCitation" : "(ABS 2014)", "previouslyFormattedCitation" : "(ABS 2014)" }, "properties" : { "noteIndex" : 0 }, "schema" : "https://github.com/citation-style-language/schema/raw/master/csl-citation.json" }</w:instrText>
      </w:r>
      <w:r w:rsidRPr="00962376">
        <w:rPr>
          <w:lang w:val="en-GB"/>
        </w:rPr>
        <w:fldChar w:fldCharType="separate"/>
      </w:r>
      <w:r w:rsidRPr="00962376">
        <w:rPr>
          <w:noProof/>
          <w:lang w:val="en-GB"/>
        </w:rPr>
        <w:t>(ABS 2014)</w:t>
      </w:r>
      <w:r w:rsidRPr="00962376">
        <w:rPr>
          <w:lang w:val="en-GB"/>
        </w:rPr>
        <w:fldChar w:fldCharType="end"/>
      </w:r>
      <w:r w:rsidRPr="00962376">
        <w:rPr>
          <w:lang w:val="en-GB"/>
        </w:rPr>
        <w:t>.</w:t>
      </w:r>
    </w:p>
    <w:p w14:paraId="2F47A8BA" w14:textId="77777777" w:rsidR="0051780C" w:rsidRPr="00962376" w:rsidRDefault="0051780C" w:rsidP="0051780C">
      <w:pPr>
        <w:pStyle w:val="ListParagraph"/>
        <w:ind w:left="567"/>
        <w:rPr>
          <w:lang w:val="en-GB"/>
        </w:rPr>
      </w:pPr>
    </w:p>
    <w:p w14:paraId="6B20BD5C" w14:textId="77777777" w:rsidR="0051780C" w:rsidRPr="00552334" w:rsidRDefault="0051780C" w:rsidP="0051780C">
      <w:pPr>
        <w:rPr>
          <w:lang w:val="en-GB" w:bidi="ar-SA"/>
        </w:rPr>
      </w:pPr>
      <w:r w:rsidRPr="00962376">
        <w:rPr>
          <w:lang w:val="en-GB"/>
        </w:rPr>
        <w:t xml:space="preserve">Specific consumption data for plant sterol-containing products (e.g. breakfast cereal, yoghurt, milk, edible oil spreads including margarine, and cheese) were collected in each of these surveys. </w:t>
      </w:r>
      <w:r w:rsidRPr="00552334">
        <w:rPr>
          <w:lang w:val="en-GB" w:bidi="ar-SA"/>
        </w:rPr>
        <w:t xml:space="preserve">In the NNPAS survey plant sterol-containing spreads, </w:t>
      </w:r>
      <w:r w:rsidRPr="00552334">
        <w:rPr>
          <w:lang w:val="en-GB"/>
        </w:rPr>
        <w:t>unflavoured milks and</w:t>
      </w:r>
      <w:r w:rsidRPr="00E10D8F">
        <w:rPr>
          <w:lang w:val="en-GB"/>
        </w:rPr>
        <w:t xml:space="preserve"> processed cheese</w:t>
      </w:r>
      <w:r w:rsidRPr="00552334">
        <w:rPr>
          <w:lang w:val="en-GB" w:bidi="ar-SA"/>
        </w:rPr>
        <w:t xml:space="preserve"> were reported to be consumed. In the NZ surveys only plant sterol-containing spreads were reported to be consumed.</w:t>
      </w:r>
    </w:p>
    <w:p w14:paraId="620D71CC" w14:textId="77777777" w:rsidR="0051780C" w:rsidRPr="00552334" w:rsidRDefault="0051780C" w:rsidP="0051780C">
      <w:pPr>
        <w:rPr>
          <w:lang w:val="en-GB" w:bidi="ar-SA"/>
        </w:rPr>
      </w:pPr>
    </w:p>
    <w:p w14:paraId="38D39738" w14:textId="77777777" w:rsidR="0051780C" w:rsidRPr="00962376" w:rsidRDefault="0051780C" w:rsidP="0051780C">
      <w:pPr>
        <w:rPr>
          <w:lang w:val="en-GB"/>
        </w:rPr>
      </w:pPr>
      <w:r w:rsidRPr="00962376">
        <w:rPr>
          <w:lang w:val="en-GB"/>
        </w:rPr>
        <w:t>Additional attributes of each nutrition survey are summarised in Appendix 1.</w:t>
      </w:r>
    </w:p>
    <w:p w14:paraId="285D1FB4" w14:textId="317A98C1" w:rsidR="0051780C" w:rsidRPr="00552334" w:rsidRDefault="000E6116" w:rsidP="00B14D36">
      <w:pPr>
        <w:pStyle w:val="Heading3"/>
      </w:pPr>
      <w:bookmarkStart w:id="315" w:name="_Toc466903398"/>
      <w:bookmarkStart w:id="316" w:name="_Toc466909063"/>
      <w:bookmarkStart w:id="317" w:name="_Toc466986179"/>
      <w:bookmarkStart w:id="318" w:name="_Toc466986232"/>
      <w:bookmarkStart w:id="319" w:name="_Toc467052898"/>
      <w:bookmarkStart w:id="320" w:name="_Toc467064050"/>
      <w:bookmarkStart w:id="321" w:name="_Toc467064497"/>
      <w:bookmarkStart w:id="322" w:name="_Toc467077504"/>
      <w:bookmarkStart w:id="323" w:name="_Toc477274230"/>
      <w:r>
        <w:t>5.3.2</w:t>
      </w:r>
      <w:r w:rsidR="0051780C" w:rsidRPr="00552334">
        <w:tab/>
        <w:t>Concentrations of plant sterols in foods</w:t>
      </w:r>
      <w:bookmarkEnd w:id="315"/>
      <w:bookmarkEnd w:id="316"/>
      <w:bookmarkEnd w:id="317"/>
      <w:bookmarkEnd w:id="318"/>
      <w:bookmarkEnd w:id="319"/>
      <w:bookmarkEnd w:id="320"/>
      <w:bookmarkEnd w:id="321"/>
      <w:bookmarkEnd w:id="322"/>
      <w:bookmarkEnd w:id="323"/>
    </w:p>
    <w:p w14:paraId="1796067F" w14:textId="77777777" w:rsidR="0051780C" w:rsidRPr="00E10D8F" w:rsidRDefault="0051780C" w:rsidP="0051780C">
      <w:pPr>
        <w:rPr>
          <w:rFonts w:eastAsia="Calibri"/>
          <w:szCs w:val="22"/>
          <w:lang w:val="en-GB"/>
        </w:rPr>
      </w:pPr>
      <w:r w:rsidRPr="00552334">
        <w:rPr>
          <w:rFonts w:eastAsia="Calibri"/>
          <w:szCs w:val="22"/>
          <w:lang w:val="en-GB"/>
        </w:rPr>
        <w:t xml:space="preserve">Previous FSANZ estimates of dietary plant sterol exposure did not include the contribution of the intrinsic amounts </w:t>
      </w:r>
      <w:r w:rsidRPr="00E10D8F">
        <w:rPr>
          <w:rFonts w:eastAsia="Calibri"/>
          <w:szCs w:val="22"/>
          <w:lang w:val="en-GB"/>
        </w:rPr>
        <w:t xml:space="preserve">of plant sterols naturally occurring in foods since, at the time, there was limited analytical data for </w:t>
      </w:r>
      <w:r w:rsidRPr="00552334">
        <w:rPr>
          <w:rFonts w:eastAsia="Calibri"/>
          <w:szCs w:val="22"/>
          <w:lang w:val="en-GB"/>
        </w:rPr>
        <w:t xml:space="preserve">intrinsic amounts of plant sterols in foods and it was assumed that intrinsic plant sterols would make a minimal impact on exposure estimates. Dietary plant sterol exposure for populations on a typical Western-type diet (i.e. derived from non-enriched foods) has been reported to be between 150 to 360 mg per day </w:t>
      </w:r>
      <w:r w:rsidRPr="00E10D8F">
        <w:rPr>
          <w:rFonts w:eastAsia="Calibri"/>
          <w:szCs w:val="22"/>
          <w:lang w:val="en-GB"/>
        </w:rPr>
        <w:fldChar w:fldCharType="begin" w:fldLock="1"/>
      </w:r>
      <w:r w:rsidRPr="00552334">
        <w:rPr>
          <w:rFonts w:eastAsia="Calibri"/>
          <w:szCs w:val="22"/>
          <w:lang w:val="en-GB"/>
        </w:rPr>
        <w:instrText>ADDIN CSL_CITATION { "citationItems" : [ { "id" : "ITEM-1", "itemData" : { "DOI" : "10.1111/j.1753-4887.2006.tb00224.x", "ISBN" : "5143987547", "ISSN" : "00296643", "PMID" : "17002235", "abstract" : "Recently, it has been questioned whether elevated levels of circulating plant sterols increase the risk of coronary heart disease (CHD). To date, no definitive conclusions regarding such a relationship have been reached, nor have there been any studies summarizing the factors that contribute to the observed elevations in plant sterol concentrations in plasma. Thus, the purpose of this review is to systematically compare the plant sterol levels of subjects from the general population and to describe factors that contribute to the variations observed. The question of whether elevated plasma concentrations of plant sterols are associated with an increased risk of CHD was also assessed. Results indicate that the key factors accounting for variations in circulating plant sterol concentrations include: apolipoprotein E phenotypes, ATP-binding cassette transporter polymorphisms, use of statin drugs, presence of metabolic syndrome, dietary intake of plant sterols, gender, and analytical techniques used in the measurement of plant sterols in the plasma. An analysis of the studies examining the relationship between circulating levels of plant sterols and CHD risk in non-sitosterolemic populations revealed no clear associations. Furthermore, it was shown that the above-mentioned factors play an important role in determining the levels of plant sterols in plasma. Since these factors may act as potential confounders, they must be controlled for before more solid conclusions can be reached.", "author" : [ { "dropping-particle" : "", "family" : "Chan", "given" : "Yen-Ming", "non-dropping-particle" : "", "parse-names" : false, "suffix" : "" }, { "dropping-particle" : "", "family" : "Varady", "given" : "Krista a", "non-dropping-particle" : "", "parse-names" : false, "suffix" : "" }, { "dropping-particle" : "", "family" : "Lin", "given" : "Yuguang", "non-dropping-particle" : "", "parse-names" : false, "suffix" : "" }, { "dropping-particle" : "", "family" : "Trautwein", "given" : "Elke", "non-dropping-particle" : "", "parse-names" : false, "suffix" : "" }, { "dropping-particle" : "", "family" : "Mensink", "given" : "Ronald P", "non-dropping-particle" : "", "parse-names" : false, "suffix" : "" }, { "dropping-particle" : "", "family" : "Plat", "given" : "Jogchum", "non-dropping-particle" : "", "parse-names" : false, "suffix" : "" }, { "dropping-particle" : "", "family" : "Jones", "given" : "Peter J.H.", "non-dropping-particle" : "", "parse-names" : false, "suffix" : "" } ], "container-title" : "Nutrition Reviews", "id" : "ITEM-1", "issue" : "9", "issued" : { "date-parts" : [ [ "2006", "9" ] ] }, "page" : "385-402", "title" : "Plasma Concentrations of Plant Sterols: Physiology and Relationship with Coronary Heart Disease", "type" : "article-journal", "volume" : "64" }, "uris" : [ "http://www.mendeley.com/documents/?uuid=75a80c2f-6b4c-4800-824c-699ccca0fcce" ] } ], "mendeley" : { "formattedCitation" : "(Chan et al. 2006)", "plainTextFormattedCitation" : "(Chan et al. 2006)", "previouslyFormattedCitation" : "(Chan et al. 2006)" }, "properties" : { "noteIndex" : 0 }, "schema" : "https://github.com/citation-style-language/schema/raw/master/csl-citation.json" }</w:instrText>
      </w:r>
      <w:r w:rsidRPr="00E10D8F">
        <w:rPr>
          <w:rFonts w:eastAsia="Calibri"/>
          <w:szCs w:val="22"/>
          <w:lang w:val="en-GB"/>
        </w:rPr>
        <w:fldChar w:fldCharType="separate"/>
      </w:r>
      <w:r w:rsidRPr="00E10D8F">
        <w:rPr>
          <w:rFonts w:eastAsia="Calibri"/>
          <w:noProof/>
          <w:szCs w:val="22"/>
          <w:lang w:val="en-GB"/>
        </w:rPr>
        <w:t>(Chan et al. 2006)</w:t>
      </w:r>
      <w:r w:rsidRPr="00E10D8F">
        <w:rPr>
          <w:rFonts w:eastAsia="Calibri"/>
          <w:szCs w:val="22"/>
          <w:lang w:val="en-GB"/>
        </w:rPr>
        <w:fldChar w:fldCharType="end"/>
      </w:r>
      <w:r w:rsidRPr="00F935CA">
        <w:rPr>
          <w:rFonts w:eastAsia="Calibri"/>
          <w:szCs w:val="22"/>
          <w:lang w:val="en-GB"/>
        </w:rPr>
        <w:fldChar w:fldCharType="begin"/>
      </w:r>
      <w:r w:rsidRPr="00552334">
        <w:rPr>
          <w:rFonts w:eastAsia="Calibri"/>
          <w:szCs w:val="22"/>
          <w:lang w:val="en-GB"/>
        </w:rPr>
        <w:instrText xml:space="preserve"> ADDIN REFMGR.CITE &lt;Refman&gt;&lt;Cite&gt;&lt;Author&gt;Chan&lt;/Author&gt;&lt;Year&gt;2006&lt;/Year&gt;&lt;RecNum&gt;4&lt;/RecNum&gt;&lt;IDText&gt;Plasma concentrations of plant sterols: physiology and relationship with coronary heart disease&lt;/IDText&gt;&lt;MDL Ref_Type="Journal"&gt;&lt;Ref_Type&gt;Journal&lt;/Ref_Type&gt;&lt;Ref_ID&gt;4&lt;/Ref_ID&gt;&lt;Title_Primary&gt;Plasma concentrations of plant sterols: physiology and relationship with coronary heart disease&lt;/Title_Primary&gt;&lt;Authors_Primary&gt;Chan,Y.M.&lt;/Authors_Primary&gt;&lt;Authors_Primary&gt;Varady,K.A.&lt;/Authors_Primary&gt;&lt;Authors_Primary&gt;Lin,Y.&lt;/Authors_Primary&gt;&lt;Authors_Primary&gt;Trautwein,E.&lt;/Authors_Primary&gt;&lt;Authors_Primary&gt;Mensink,R.P.&lt;/Authors_Primary&gt;&lt;Authors_Primary&gt;Plat,J.&lt;/Authors_Primary&gt;&lt;Authors_Primary&gt;Jones,P.J.&lt;/Authors_Primary&gt;&lt;Date_Primary&gt;2006/9&lt;/Date_Primary&gt;&lt;Keywords&gt;administration &amp;amp; dosage&lt;/Keywords&gt;&lt;Keywords&gt;adverse effects&lt;/Keywords&gt;&lt;Keywords&gt;analysis&lt;/Keywords&gt;&lt;Keywords&gt;Animals&lt;/Keywords&gt;&lt;Keywords&gt;Apolipoproteins E&lt;/Keywords&gt;&lt;Keywords&gt;ATP-Binding Cassette Transporters&lt;/Keywords&gt;&lt;Keywords&gt;blood&lt;/Keywords&gt;&lt;Keywords&gt;Coronary Disease&lt;/Keywords&gt;&lt;Keywords&gt;epidemiology&lt;/Keywords&gt;&lt;Keywords&gt;Female&lt;/Keywords&gt;&lt;Keywords&gt;genetics&lt;/Keywords&gt;&lt;Keywords&gt;Humans&lt;/Keywords&gt;&lt;Keywords&gt;Hydroxymethylglutaryl-CoA Reductase Inhibitors&lt;/Keywords&gt;&lt;Keywords&gt;Lipoproteins&lt;/Keywords&gt;&lt;Keywords&gt;Male&lt;/Keywords&gt;&lt;Keywords&gt;Mice&lt;/Keywords&gt;&lt;Keywords&gt;Phenotype&lt;/Keywords&gt;&lt;Keywords&gt;Phytosterols&lt;/Keywords&gt;&lt;Keywords&gt;Risk Factors&lt;/Keywords&gt;&lt;Keywords&gt;Sex Factors&lt;/Keywords&gt;&lt;Keywords&gt;therapeutic use&lt;/Keywords&gt;&lt;Reprint&gt;Not in File&lt;/Reprint&gt;&lt;Start_Page&gt;385&lt;/Start_Page&gt;&lt;End_Page&gt;402&lt;/End_Page&gt;&lt;Periodical&gt;Nutr.Rev.&lt;/Periodical&gt;&lt;Volume&gt;64&lt;/Volume&gt;&lt;Issue&gt;9&lt;/Issue&gt;&lt;Address&gt;School of Dietetics and Human Nutrition, McGill University, 21,111 Lakeshore Road, Ste. Anne de Bellevue, Quebec, Canada H9X 3V9&lt;/Address&gt;&lt;Web_URL&gt;PM:17002235&lt;/Web_URL&gt;&lt;ZZ_JournalStdAbbrev&gt;&lt;f name="System"&gt;Nutr.Rev.&lt;/f&gt;&lt;/ZZ_JournalStdAbbrev&gt;&lt;ZZ_WorkformID&gt;1&lt;/ZZ_WorkformID&gt;&lt;/MDL&gt;&lt;/Cite&gt;&lt;/Refman&gt;</w:instrText>
      </w:r>
      <w:r w:rsidRPr="00F935CA">
        <w:rPr>
          <w:rFonts w:eastAsia="Calibri"/>
          <w:szCs w:val="22"/>
          <w:lang w:val="en-GB"/>
        </w:rPr>
        <w:fldChar w:fldCharType="end"/>
      </w:r>
      <w:r w:rsidRPr="00552334">
        <w:rPr>
          <w:rFonts w:eastAsia="Calibri"/>
          <w:szCs w:val="22"/>
          <w:lang w:val="en-GB"/>
        </w:rPr>
        <w:t xml:space="preserve">. In the absence of more up-to-date concentration data for </w:t>
      </w:r>
      <w:r w:rsidRPr="00552334">
        <w:rPr>
          <w:rFonts w:eastAsia="Calibri"/>
          <w:lang w:val="en-GB"/>
        </w:rPr>
        <w:t>intrinsic</w:t>
      </w:r>
      <w:r w:rsidRPr="00552334">
        <w:rPr>
          <w:rFonts w:eastAsia="Calibri"/>
          <w:szCs w:val="22"/>
          <w:lang w:val="en-GB"/>
        </w:rPr>
        <w:t xml:space="preserve"> plant sterols in foods, this approach has also been used in this assessment.</w:t>
      </w:r>
    </w:p>
    <w:p w14:paraId="71840243" w14:textId="77777777" w:rsidR="0051780C" w:rsidRPr="00552334" w:rsidRDefault="0051780C" w:rsidP="0051780C">
      <w:pPr>
        <w:rPr>
          <w:rFonts w:eastAsia="Calibri"/>
          <w:szCs w:val="22"/>
          <w:lang w:val="en-GB"/>
        </w:rPr>
      </w:pPr>
    </w:p>
    <w:p w14:paraId="7057B328" w14:textId="221E2AA1" w:rsidR="0051780C" w:rsidRDefault="0051780C" w:rsidP="0051780C">
      <w:pPr>
        <w:rPr>
          <w:lang w:val="en-GB"/>
        </w:rPr>
      </w:pPr>
      <w:r w:rsidRPr="00552334">
        <w:rPr>
          <w:rFonts w:eastAsia="Calibri"/>
          <w:szCs w:val="22"/>
          <w:lang w:val="en-GB"/>
        </w:rPr>
        <w:t xml:space="preserve">The estimations of baseline dietary exposures took into account only foods in which there are existing Code permissions to add plant sterols and the maximum </w:t>
      </w:r>
      <w:r w:rsidRPr="00962376">
        <w:rPr>
          <w:lang w:val="en-GB"/>
        </w:rPr>
        <w:t xml:space="preserve">permitted levels (MPLs) defined in the Code were used as the </w:t>
      </w:r>
      <w:r w:rsidRPr="00552334">
        <w:rPr>
          <w:rFonts w:eastAsia="Calibri"/>
          <w:szCs w:val="22"/>
          <w:lang w:val="en-GB"/>
        </w:rPr>
        <w:t>plant sterol</w:t>
      </w:r>
      <w:r w:rsidRPr="00962376">
        <w:rPr>
          <w:lang w:val="en-GB"/>
        </w:rPr>
        <w:t xml:space="preserve"> concentration (Table 1). </w:t>
      </w:r>
      <w:r w:rsidR="008F69A6">
        <w:rPr>
          <w:lang w:val="en-GB"/>
        </w:rPr>
        <w:t>T</w:t>
      </w:r>
      <w:r w:rsidRPr="00962376">
        <w:rPr>
          <w:lang w:val="en-GB"/>
        </w:rPr>
        <w:t>here was no reported consumption of breakfast cereals with added plant sterols in any of the surveys, possibly because these products were not available at the time of the survey. Therefore, plant sterols from breakfast cereals did not contribute to the baseline exposure estimate.</w:t>
      </w:r>
    </w:p>
    <w:p w14:paraId="6F80F83E" w14:textId="77777777" w:rsidR="00F30DEC" w:rsidRDefault="00F30DEC" w:rsidP="0051780C">
      <w:pPr>
        <w:rPr>
          <w:lang w:val="en-GB"/>
        </w:rPr>
      </w:pPr>
    </w:p>
    <w:p w14:paraId="065B8778" w14:textId="77777777" w:rsidR="00F30DEC" w:rsidRPr="00F30DEC" w:rsidRDefault="00F30DEC" w:rsidP="00F30DEC">
      <w:pPr>
        <w:rPr>
          <w:lang w:val="en-GB"/>
        </w:rPr>
      </w:pPr>
      <w:r w:rsidRPr="00F30DEC">
        <w:rPr>
          <w:lang w:val="en-GB"/>
        </w:rPr>
        <w:t xml:space="preserve">Amounts of plant sterols permitted to be added to foods are defined in terms of total plant sterol equivalents and not the plant sterol preparations actually added to foods. Therefore, no correction factor for phytosterol concentration in the foods needed to be applied to the MPLs for the DEA, except for cheese and processed cheese which on a plant sterol equivalents basis would be 54 g/kg (using a 0.6 conversion factor based on molecular weights). </w:t>
      </w:r>
    </w:p>
    <w:p w14:paraId="2ABE2928" w14:textId="77777777" w:rsidR="00F30DEC" w:rsidRDefault="00F30DEC" w:rsidP="0051780C">
      <w:pPr>
        <w:rPr>
          <w:lang w:val="en-GB"/>
        </w:rPr>
      </w:pPr>
    </w:p>
    <w:p w14:paraId="2A3CC1A1" w14:textId="77777777" w:rsidR="00F30DEC" w:rsidRPr="00F30DEC" w:rsidRDefault="00F30DEC" w:rsidP="00F30DEC">
      <w:pPr>
        <w:rPr>
          <w:lang w:val="en-GB"/>
        </w:rPr>
      </w:pPr>
      <w:r w:rsidRPr="00F30DEC">
        <w:rPr>
          <w:lang w:val="en-GB"/>
        </w:rPr>
        <w:t xml:space="preserve">One of the objectives of the DEA was to estimate plant sterol exposures if the permission for portion-controlled breakfast cereals of 2.2 g/serve was extended to all breakfast cereals at 2.2 g/serve. </w:t>
      </w:r>
      <w:r w:rsidRPr="00F30DEC">
        <w:rPr>
          <w:bCs/>
          <w:lang w:val="en-GB"/>
        </w:rPr>
        <w:t>The plant sterol amounts used for this calculation needed to be converted from 2.2 g/serve to a per kilogram basis, which</w:t>
      </w:r>
      <w:r w:rsidRPr="00F30DEC">
        <w:rPr>
          <w:lang w:val="en-GB"/>
        </w:rPr>
        <w:t xml:space="preserve"> resulted in a higher concentration than currently permitted in the Code (19 g/kg).</w:t>
      </w:r>
      <w:r w:rsidRPr="00F30DEC">
        <w:rPr>
          <w:bCs/>
          <w:lang w:val="en-GB"/>
        </w:rPr>
        <w:t xml:space="preserve"> Serve sizes of most breakfast cereals range between 30 and 50 grams, which converted to a concentration of 40</w:t>
      </w:r>
      <w:r w:rsidRPr="00F30DEC">
        <w:rPr>
          <w:lang w:val="en-GB"/>
        </w:rPr>
        <w:t>–</w:t>
      </w:r>
      <w:r w:rsidRPr="00F30DEC">
        <w:rPr>
          <w:bCs/>
          <w:lang w:val="en-GB"/>
        </w:rPr>
        <w:t>73 g plant sterols/kg. The upper end of this range of 73 g/kg was used in the dietary exposure calculation for all breakfast cereals as a conservative estimate.</w:t>
      </w:r>
    </w:p>
    <w:p w14:paraId="5696ACAA" w14:textId="77777777" w:rsidR="00F30DEC" w:rsidRDefault="00F30DEC" w:rsidP="0051780C">
      <w:pPr>
        <w:rPr>
          <w:lang w:val="en-GB"/>
        </w:rPr>
      </w:pPr>
      <w:r>
        <w:rPr>
          <w:lang w:val="en-GB"/>
        </w:rPr>
        <w:br w:type="page"/>
      </w:r>
    </w:p>
    <w:p w14:paraId="41C06653" w14:textId="77777777" w:rsidR="0051780C" w:rsidRPr="00962376" w:rsidRDefault="0051780C" w:rsidP="00F30DEC">
      <w:pPr>
        <w:pStyle w:val="FSTableTitle"/>
        <w:rPr>
          <w:lang w:val="en-GB" w:eastAsia="en-AU"/>
        </w:rPr>
      </w:pPr>
      <w:r w:rsidRPr="00962376">
        <w:rPr>
          <w:lang w:val="en-GB" w:eastAsia="en-AU"/>
        </w:rPr>
        <w:lastRenderedPageBreak/>
        <w:t>Table 1</w:t>
      </w:r>
      <w:r>
        <w:rPr>
          <w:lang w:val="en-GB" w:eastAsia="en-AU"/>
        </w:rPr>
        <w:t xml:space="preserve">: </w:t>
      </w:r>
      <w:r w:rsidRPr="00962376">
        <w:rPr>
          <w:lang w:val="en-GB" w:eastAsia="en-AU"/>
        </w:rPr>
        <w:t>Foods permitted to add p</w:t>
      </w:r>
      <w:r w:rsidR="00F30DEC">
        <w:rPr>
          <w:lang w:val="en-GB" w:eastAsia="en-AU"/>
        </w:rPr>
        <w:t>l</w:t>
      </w:r>
      <w:r w:rsidRPr="00962376">
        <w:rPr>
          <w:lang w:val="en-GB" w:eastAsia="en-AU"/>
        </w:rPr>
        <w:t>ant sterols</w:t>
      </w:r>
    </w:p>
    <w:p w14:paraId="0D22451D" w14:textId="77777777" w:rsidR="0051780C" w:rsidRPr="00962376" w:rsidRDefault="0051780C" w:rsidP="0051780C">
      <w:pPr>
        <w:rPr>
          <w:lang w:val="en-GB" w:eastAsia="en-AU" w:bidi="ar-SA"/>
        </w:rPr>
      </w:pPr>
    </w:p>
    <w:tbl>
      <w:tblPr>
        <w:tblStyle w:val="TableGrid1"/>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oods permitted to add plant sterols"/>
      </w:tblPr>
      <w:tblGrid>
        <w:gridCol w:w="1418"/>
        <w:gridCol w:w="1134"/>
        <w:gridCol w:w="1276"/>
        <w:gridCol w:w="1842"/>
        <w:gridCol w:w="3544"/>
      </w:tblGrid>
      <w:tr w:rsidR="0051780C" w:rsidRPr="00552334" w14:paraId="55812967" w14:textId="77777777" w:rsidTr="00A573C4">
        <w:trPr>
          <w:trHeight w:val="510"/>
          <w:tblHeader/>
        </w:trPr>
        <w:tc>
          <w:tcPr>
            <w:tcW w:w="1418" w:type="dxa"/>
            <w:tcBorders>
              <w:top w:val="single" w:sz="4" w:space="0" w:color="auto"/>
              <w:bottom w:val="single" w:sz="4" w:space="0" w:color="auto"/>
            </w:tcBorders>
            <w:vAlign w:val="center"/>
          </w:tcPr>
          <w:p w14:paraId="76C21D88" w14:textId="77777777" w:rsidR="0051780C" w:rsidRPr="00552334" w:rsidRDefault="0051780C" w:rsidP="00A573C4">
            <w:pPr>
              <w:pStyle w:val="FSTableText"/>
              <w:rPr>
                <w:b/>
                <w:lang w:val="en-GB" w:eastAsia="en-AU" w:bidi="ar-SA"/>
              </w:rPr>
            </w:pPr>
            <w:r w:rsidRPr="00552334">
              <w:rPr>
                <w:b/>
                <w:lang w:val="en-GB" w:eastAsia="en-AU" w:bidi="ar-SA"/>
              </w:rPr>
              <w:t>Food</w:t>
            </w:r>
            <w:r w:rsidRPr="00552334">
              <w:rPr>
                <w:b/>
                <w:vertAlign w:val="superscript"/>
                <w:lang w:val="en-GB" w:eastAsia="en-AU" w:bidi="ar-SA"/>
              </w:rPr>
              <w:t>1</w:t>
            </w:r>
          </w:p>
        </w:tc>
        <w:tc>
          <w:tcPr>
            <w:tcW w:w="1134" w:type="dxa"/>
            <w:tcBorders>
              <w:top w:val="single" w:sz="4" w:space="0" w:color="auto"/>
              <w:bottom w:val="single" w:sz="4" w:space="0" w:color="auto"/>
            </w:tcBorders>
            <w:vAlign w:val="center"/>
          </w:tcPr>
          <w:p w14:paraId="0FF3ECDC" w14:textId="77777777" w:rsidR="0051780C" w:rsidRPr="00552334" w:rsidRDefault="0051780C" w:rsidP="00A573C4">
            <w:pPr>
              <w:pStyle w:val="FSTableText"/>
              <w:rPr>
                <w:b/>
                <w:lang w:val="en-GB" w:eastAsia="en-AU" w:bidi="ar-SA"/>
              </w:rPr>
            </w:pPr>
            <w:r w:rsidRPr="00552334">
              <w:rPr>
                <w:b/>
                <w:lang w:val="en-GB" w:eastAsia="en-AU" w:bidi="ar-SA"/>
              </w:rPr>
              <w:t>Standard</w:t>
            </w:r>
          </w:p>
        </w:tc>
        <w:tc>
          <w:tcPr>
            <w:tcW w:w="1276" w:type="dxa"/>
            <w:tcBorders>
              <w:top w:val="single" w:sz="4" w:space="0" w:color="auto"/>
              <w:bottom w:val="single" w:sz="4" w:space="0" w:color="auto"/>
            </w:tcBorders>
            <w:vAlign w:val="center"/>
          </w:tcPr>
          <w:p w14:paraId="1BD2708B" w14:textId="77777777" w:rsidR="0051780C" w:rsidRPr="00E10D8F" w:rsidRDefault="0051780C" w:rsidP="00A573C4">
            <w:pPr>
              <w:pStyle w:val="FSTableText"/>
              <w:jc w:val="center"/>
              <w:rPr>
                <w:b/>
                <w:lang w:val="en-GB" w:eastAsia="en-AU" w:bidi="ar-SA"/>
              </w:rPr>
            </w:pPr>
            <w:r w:rsidRPr="00552334">
              <w:rPr>
                <w:b/>
                <w:lang w:val="en-GB" w:eastAsia="en-AU" w:bidi="ar-SA"/>
              </w:rPr>
              <w:t>Prescribed form</w:t>
            </w:r>
            <w:r w:rsidRPr="00552334">
              <w:rPr>
                <w:b/>
                <w:vertAlign w:val="superscript"/>
                <w:lang w:val="en-GB" w:eastAsia="en-AU" w:bidi="ar-SA"/>
              </w:rPr>
              <w:t>2</w:t>
            </w:r>
          </w:p>
        </w:tc>
        <w:tc>
          <w:tcPr>
            <w:tcW w:w="1842" w:type="dxa"/>
            <w:tcBorders>
              <w:top w:val="single" w:sz="4" w:space="0" w:color="auto"/>
              <w:bottom w:val="single" w:sz="4" w:space="0" w:color="auto"/>
            </w:tcBorders>
            <w:vAlign w:val="center"/>
          </w:tcPr>
          <w:p w14:paraId="733435F2" w14:textId="77777777" w:rsidR="0051780C" w:rsidRPr="00552334" w:rsidRDefault="0051780C" w:rsidP="00A573C4">
            <w:pPr>
              <w:pStyle w:val="FSTableText"/>
              <w:jc w:val="center"/>
              <w:rPr>
                <w:b/>
                <w:lang w:val="en-GB" w:eastAsia="en-AU" w:bidi="ar-SA"/>
              </w:rPr>
            </w:pPr>
            <w:r w:rsidRPr="00552334">
              <w:rPr>
                <w:b/>
                <w:lang w:val="en-GB" w:eastAsia="en-AU" w:bidi="ar-SA"/>
              </w:rPr>
              <w:t>Maximum Permitted Level</w:t>
            </w:r>
          </w:p>
        </w:tc>
        <w:tc>
          <w:tcPr>
            <w:tcW w:w="3544" w:type="dxa"/>
            <w:tcBorders>
              <w:top w:val="single" w:sz="4" w:space="0" w:color="auto"/>
              <w:bottom w:val="single" w:sz="4" w:space="0" w:color="auto"/>
            </w:tcBorders>
            <w:vAlign w:val="center"/>
          </w:tcPr>
          <w:p w14:paraId="3506809F" w14:textId="77777777" w:rsidR="0051780C" w:rsidRPr="00552334" w:rsidRDefault="0051780C" w:rsidP="00A573C4">
            <w:pPr>
              <w:pStyle w:val="FSTableText"/>
              <w:rPr>
                <w:b/>
                <w:lang w:val="en-GB" w:eastAsia="en-AU" w:bidi="ar-SA"/>
              </w:rPr>
            </w:pPr>
            <w:r w:rsidRPr="00552334">
              <w:rPr>
                <w:b/>
                <w:lang w:val="en-GB" w:eastAsia="en-AU" w:bidi="ar-SA"/>
              </w:rPr>
              <w:t>Conditions for PS addition</w:t>
            </w:r>
          </w:p>
        </w:tc>
      </w:tr>
      <w:tr w:rsidR="0051780C" w:rsidRPr="00552334" w14:paraId="76F5AAA3" w14:textId="77777777" w:rsidTr="00A573C4">
        <w:trPr>
          <w:trHeight w:val="737"/>
        </w:trPr>
        <w:tc>
          <w:tcPr>
            <w:tcW w:w="1418" w:type="dxa"/>
            <w:tcBorders>
              <w:top w:val="single" w:sz="4" w:space="0" w:color="auto"/>
            </w:tcBorders>
            <w:vAlign w:val="center"/>
          </w:tcPr>
          <w:p w14:paraId="571E45DC" w14:textId="77777777" w:rsidR="0051780C" w:rsidRPr="00552334" w:rsidRDefault="0051780C" w:rsidP="00A573C4">
            <w:pPr>
              <w:pStyle w:val="FSTableText"/>
              <w:rPr>
                <w:lang w:val="en-GB" w:eastAsia="en-AU" w:bidi="ar-SA"/>
              </w:rPr>
            </w:pPr>
            <w:r w:rsidRPr="00552334">
              <w:rPr>
                <w:lang w:val="en-GB" w:eastAsia="en-AU" w:bidi="ar-SA"/>
              </w:rPr>
              <w:t>Breakfast cereals</w:t>
            </w:r>
          </w:p>
        </w:tc>
        <w:tc>
          <w:tcPr>
            <w:tcW w:w="1134" w:type="dxa"/>
            <w:tcBorders>
              <w:top w:val="single" w:sz="4" w:space="0" w:color="auto"/>
            </w:tcBorders>
            <w:vAlign w:val="center"/>
          </w:tcPr>
          <w:p w14:paraId="3F6AE2E9" w14:textId="77777777" w:rsidR="0051780C" w:rsidRPr="00552334" w:rsidRDefault="0051780C" w:rsidP="00A573C4">
            <w:pPr>
              <w:pStyle w:val="FSTableText"/>
              <w:rPr>
                <w:lang w:val="en-GB" w:eastAsia="en-AU" w:bidi="ar-SA"/>
              </w:rPr>
            </w:pPr>
            <w:r w:rsidRPr="00552334">
              <w:rPr>
                <w:lang w:val="en-GB" w:eastAsia="en-AU" w:bidi="ar-SA"/>
              </w:rPr>
              <w:t>Schedule 25</w:t>
            </w:r>
          </w:p>
        </w:tc>
        <w:tc>
          <w:tcPr>
            <w:tcW w:w="1276" w:type="dxa"/>
            <w:tcBorders>
              <w:top w:val="single" w:sz="4" w:space="0" w:color="auto"/>
            </w:tcBorders>
            <w:vAlign w:val="center"/>
          </w:tcPr>
          <w:p w14:paraId="028FE442" w14:textId="77777777" w:rsidR="0051780C" w:rsidRPr="00E10D8F" w:rsidRDefault="0051780C" w:rsidP="00A573C4">
            <w:pPr>
              <w:pStyle w:val="FSTableText"/>
              <w:rPr>
                <w:lang w:val="en-GB" w:eastAsia="en-AU" w:bidi="ar-SA"/>
              </w:rPr>
            </w:pPr>
            <w:r w:rsidRPr="00552334">
              <w:rPr>
                <w:lang w:val="en-GB" w:eastAsia="en-AU" w:bidi="ar-SA"/>
              </w:rPr>
              <w:t>Total PS equiv</w:t>
            </w:r>
          </w:p>
        </w:tc>
        <w:tc>
          <w:tcPr>
            <w:tcW w:w="1842" w:type="dxa"/>
            <w:tcBorders>
              <w:top w:val="single" w:sz="4" w:space="0" w:color="auto"/>
            </w:tcBorders>
            <w:vAlign w:val="center"/>
          </w:tcPr>
          <w:p w14:paraId="653462C2" w14:textId="77777777" w:rsidR="0051780C" w:rsidRPr="00552334" w:rsidRDefault="0051780C" w:rsidP="00A573C4">
            <w:pPr>
              <w:pStyle w:val="FSTableText"/>
              <w:jc w:val="center"/>
              <w:rPr>
                <w:lang w:val="en-GB" w:eastAsia="en-AU" w:bidi="ar-SA"/>
              </w:rPr>
            </w:pPr>
            <w:r w:rsidRPr="00552334">
              <w:rPr>
                <w:lang w:val="en-GB" w:eastAsia="en-AU" w:bidi="ar-SA"/>
              </w:rPr>
              <w:t>19 g/kg</w:t>
            </w:r>
          </w:p>
        </w:tc>
        <w:tc>
          <w:tcPr>
            <w:tcW w:w="3544" w:type="dxa"/>
            <w:tcBorders>
              <w:top w:val="single" w:sz="4" w:space="0" w:color="auto"/>
            </w:tcBorders>
            <w:vAlign w:val="center"/>
          </w:tcPr>
          <w:p w14:paraId="25BDA1D2" w14:textId="77777777" w:rsidR="0051780C" w:rsidRPr="00552334" w:rsidRDefault="0051780C" w:rsidP="00A573C4">
            <w:pPr>
              <w:pStyle w:val="FSTableText"/>
              <w:rPr>
                <w:lang w:val="en-GB" w:eastAsia="en-AU" w:bidi="ar-SA"/>
              </w:rPr>
            </w:pPr>
            <w:r w:rsidRPr="00552334">
              <w:rPr>
                <w:lang w:val="en-GB" w:eastAsia="en-AU" w:bidi="ar-SA"/>
              </w:rPr>
              <w:t>The total fibre content is no less than 3 g/50 g serve and contains no more than 30 g/100 g of total sugars</w:t>
            </w:r>
          </w:p>
        </w:tc>
      </w:tr>
      <w:tr w:rsidR="0051780C" w:rsidRPr="00552334" w14:paraId="4C6B5E9E" w14:textId="77777777" w:rsidTr="00A573C4">
        <w:trPr>
          <w:trHeight w:val="737"/>
        </w:trPr>
        <w:tc>
          <w:tcPr>
            <w:tcW w:w="1418" w:type="dxa"/>
            <w:vAlign w:val="center"/>
          </w:tcPr>
          <w:p w14:paraId="49A015A4" w14:textId="77777777" w:rsidR="0051780C" w:rsidRPr="00552334" w:rsidRDefault="0051780C" w:rsidP="00A573C4">
            <w:pPr>
              <w:pStyle w:val="FSTableText"/>
              <w:rPr>
                <w:lang w:val="en-GB" w:eastAsia="en-AU" w:bidi="ar-SA"/>
              </w:rPr>
            </w:pPr>
            <w:r w:rsidRPr="00552334">
              <w:rPr>
                <w:lang w:val="en-GB" w:eastAsia="en-AU" w:bidi="ar-SA"/>
              </w:rPr>
              <w:t>Yoghurt</w:t>
            </w:r>
          </w:p>
        </w:tc>
        <w:tc>
          <w:tcPr>
            <w:tcW w:w="1134" w:type="dxa"/>
            <w:vAlign w:val="center"/>
          </w:tcPr>
          <w:p w14:paraId="1D6B1A1C" w14:textId="77777777" w:rsidR="0051780C" w:rsidRPr="00552334" w:rsidRDefault="0051780C" w:rsidP="00A573C4">
            <w:pPr>
              <w:pStyle w:val="FSTableText"/>
              <w:rPr>
                <w:lang w:val="en-GB" w:eastAsia="en-AU" w:bidi="ar-SA"/>
              </w:rPr>
            </w:pPr>
            <w:r>
              <w:rPr>
                <w:lang w:val="en-GB" w:eastAsia="en-AU" w:bidi="ar-SA"/>
              </w:rPr>
              <w:t xml:space="preserve">section </w:t>
            </w:r>
            <w:r w:rsidRPr="00552334">
              <w:rPr>
                <w:lang w:val="en-GB" w:eastAsia="en-AU" w:bidi="ar-SA"/>
              </w:rPr>
              <w:t>2.5.3</w:t>
            </w:r>
            <w:r>
              <w:rPr>
                <w:lang w:val="en-GB" w:eastAsia="en-AU" w:bidi="ar-SA"/>
              </w:rPr>
              <w:t>—</w:t>
            </w:r>
            <w:r w:rsidRPr="00552334">
              <w:rPr>
                <w:lang w:val="en-GB" w:eastAsia="en-AU" w:bidi="ar-SA"/>
              </w:rPr>
              <w:t>5</w:t>
            </w:r>
          </w:p>
        </w:tc>
        <w:tc>
          <w:tcPr>
            <w:tcW w:w="1276" w:type="dxa"/>
            <w:vAlign w:val="center"/>
          </w:tcPr>
          <w:p w14:paraId="30D55C5F" w14:textId="77777777" w:rsidR="0051780C" w:rsidRPr="00552334" w:rsidRDefault="0051780C" w:rsidP="00A573C4">
            <w:pPr>
              <w:pStyle w:val="FSTableText"/>
              <w:rPr>
                <w:lang w:val="en-GB" w:eastAsia="en-AU" w:bidi="ar-SA"/>
              </w:rPr>
            </w:pPr>
            <w:r w:rsidRPr="00552334">
              <w:rPr>
                <w:lang w:val="en-GB" w:eastAsia="en-AU" w:bidi="ar-SA"/>
              </w:rPr>
              <w:t>Total PS equiv</w:t>
            </w:r>
          </w:p>
        </w:tc>
        <w:tc>
          <w:tcPr>
            <w:tcW w:w="1842" w:type="dxa"/>
            <w:vAlign w:val="center"/>
          </w:tcPr>
          <w:p w14:paraId="044564D5" w14:textId="77777777" w:rsidR="0051780C" w:rsidRPr="00E10D8F" w:rsidRDefault="0051780C" w:rsidP="00A573C4">
            <w:pPr>
              <w:pStyle w:val="FSTableText"/>
              <w:jc w:val="center"/>
              <w:rPr>
                <w:lang w:val="en-GB" w:eastAsia="en-AU" w:bidi="ar-SA"/>
              </w:rPr>
            </w:pPr>
            <w:r w:rsidRPr="00552334">
              <w:rPr>
                <w:lang w:val="en-GB" w:eastAsia="en-AU" w:bidi="ar-SA"/>
              </w:rPr>
              <w:t>1.0 g/package</w:t>
            </w:r>
            <w:r w:rsidRPr="00E10D8F">
              <w:rPr>
                <w:lang w:val="en-GB" w:eastAsia="en-AU" w:bidi="ar-SA"/>
              </w:rPr>
              <w:t xml:space="preserve"> (capacity no more than 200 g)</w:t>
            </w:r>
          </w:p>
        </w:tc>
        <w:tc>
          <w:tcPr>
            <w:tcW w:w="3544" w:type="dxa"/>
            <w:vAlign w:val="center"/>
          </w:tcPr>
          <w:p w14:paraId="7539FB52" w14:textId="77777777" w:rsidR="0051780C" w:rsidRPr="00552334" w:rsidRDefault="0051780C" w:rsidP="00A573C4">
            <w:pPr>
              <w:pStyle w:val="FSTableText"/>
              <w:rPr>
                <w:lang w:val="en-GB" w:eastAsia="en-AU" w:bidi="ar-SA"/>
              </w:rPr>
            </w:pPr>
            <w:r w:rsidRPr="00552334">
              <w:rPr>
                <w:lang w:val="en-GB" w:eastAsia="en-AU" w:bidi="ar-SA"/>
              </w:rPr>
              <w:t>With no more than 1.5 g total fat/100g</w:t>
            </w:r>
          </w:p>
        </w:tc>
      </w:tr>
      <w:tr w:rsidR="0051780C" w:rsidRPr="00552334" w14:paraId="44744596" w14:textId="77777777" w:rsidTr="00A573C4">
        <w:trPr>
          <w:trHeight w:val="737"/>
        </w:trPr>
        <w:tc>
          <w:tcPr>
            <w:tcW w:w="1418" w:type="dxa"/>
            <w:vAlign w:val="center"/>
          </w:tcPr>
          <w:p w14:paraId="4E19A78B" w14:textId="77777777" w:rsidR="0051780C" w:rsidRPr="00552334" w:rsidRDefault="0051780C" w:rsidP="00A573C4">
            <w:pPr>
              <w:pStyle w:val="FSTableText"/>
              <w:rPr>
                <w:lang w:val="en-GB" w:eastAsia="en-AU" w:bidi="ar-SA"/>
              </w:rPr>
            </w:pPr>
            <w:r w:rsidRPr="00552334">
              <w:rPr>
                <w:lang w:val="en-GB" w:eastAsia="en-AU" w:bidi="ar-SA"/>
              </w:rPr>
              <w:t>Milk</w:t>
            </w:r>
          </w:p>
        </w:tc>
        <w:tc>
          <w:tcPr>
            <w:tcW w:w="1134" w:type="dxa"/>
            <w:vAlign w:val="center"/>
          </w:tcPr>
          <w:p w14:paraId="493D58A9" w14:textId="77777777" w:rsidR="0051780C" w:rsidRPr="00552334" w:rsidRDefault="0051780C" w:rsidP="00A573C4">
            <w:pPr>
              <w:pStyle w:val="FSTableText"/>
              <w:rPr>
                <w:lang w:val="en-GB" w:eastAsia="en-AU" w:bidi="ar-SA"/>
              </w:rPr>
            </w:pPr>
            <w:r>
              <w:rPr>
                <w:lang w:val="en-GB" w:eastAsia="en-AU" w:bidi="ar-SA"/>
              </w:rPr>
              <w:t xml:space="preserve">section </w:t>
            </w:r>
            <w:r w:rsidRPr="00552334">
              <w:rPr>
                <w:lang w:val="en-GB" w:eastAsia="en-AU" w:bidi="ar-SA"/>
              </w:rPr>
              <w:t>2.5.1</w:t>
            </w:r>
            <w:r>
              <w:rPr>
                <w:lang w:val="en-GB" w:eastAsia="en-AU" w:bidi="ar-SA"/>
              </w:rPr>
              <w:t>—</w:t>
            </w:r>
            <w:r w:rsidRPr="00552334">
              <w:rPr>
                <w:lang w:val="en-GB" w:eastAsia="en-AU" w:bidi="ar-SA"/>
              </w:rPr>
              <w:t>6</w:t>
            </w:r>
          </w:p>
        </w:tc>
        <w:tc>
          <w:tcPr>
            <w:tcW w:w="1276" w:type="dxa"/>
            <w:vAlign w:val="center"/>
          </w:tcPr>
          <w:p w14:paraId="517F2B14" w14:textId="77777777" w:rsidR="0051780C" w:rsidRPr="00552334" w:rsidRDefault="0051780C" w:rsidP="00A573C4">
            <w:pPr>
              <w:pStyle w:val="FSTableText"/>
              <w:rPr>
                <w:lang w:val="en-GB" w:eastAsia="en-AU" w:bidi="ar-SA"/>
              </w:rPr>
            </w:pPr>
            <w:r w:rsidRPr="00552334">
              <w:rPr>
                <w:lang w:val="en-GB" w:eastAsia="en-AU" w:bidi="ar-SA"/>
              </w:rPr>
              <w:t>Total PS equiv</w:t>
            </w:r>
          </w:p>
        </w:tc>
        <w:tc>
          <w:tcPr>
            <w:tcW w:w="1842" w:type="dxa"/>
            <w:vAlign w:val="center"/>
          </w:tcPr>
          <w:p w14:paraId="16A47662" w14:textId="77777777" w:rsidR="0051780C" w:rsidRPr="00E10D8F" w:rsidRDefault="0051780C" w:rsidP="00A573C4">
            <w:pPr>
              <w:pStyle w:val="FSTableText"/>
              <w:jc w:val="center"/>
              <w:rPr>
                <w:lang w:val="en-GB" w:eastAsia="en-AU" w:bidi="ar-SA"/>
              </w:rPr>
            </w:pPr>
            <w:r w:rsidRPr="00552334">
              <w:rPr>
                <w:lang w:val="en-GB" w:eastAsia="en-AU" w:bidi="ar-SA"/>
              </w:rPr>
              <w:t>4 g/L</w:t>
            </w:r>
          </w:p>
        </w:tc>
        <w:tc>
          <w:tcPr>
            <w:tcW w:w="3544" w:type="dxa"/>
            <w:vAlign w:val="center"/>
          </w:tcPr>
          <w:p w14:paraId="3E5E5875" w14:textId="77777777" w:rsidR="0051780C" w:rsidRPr="00552334" w:rsidRDefault="0051780C" w:rsidP="00A573C4">
            <w:pPr>
              <w:pStyle w:val="FSTableText"/>
              <w:rPr>
                <w:lang w:val="en-GB" w:eastAsia="en-AU" w:bidi="ar-SA"/>
              </w:rPr>
            </w:pPr>
            <w:r w:rsidRPr="00552334">
              <w:rPr>
                <w:lang w:val="en-GB" w:eastAsia="en-AU" w:bidi="ar-SA"/>
              </w:rPr>
              <w:t>With no more than 1.5 g total fat/100g</w:t>
            </w:r>
          </w:p>
        </w:tc>
      </w:tr>
      <w:tr w:rsidR="0051780C" w:rsidRPr="00552334" w14:paraId="6B66A2EC" w14:textId="77777777" w:rsidTr="00A573C4">
        <w:trPr>
          <w:trHeight w:val="737"/>
        </w:trPr>
        <w:tc>
          <w:tcPr>
            <w:tcW w:w="1418" w:type="dxa"/>
            <w:vAlign w:val="center"/>
          </w:tcPr>
          <w:p w14:paraId="3B9E7777" w14:textId="77777777" w:rsidR="0051780C" w:rsidRPr="00552334" w:rsidRDefault="0051780C" w:rsidP="00A573C4">
            <w:pPr>
              <w:pStyle w:val="FSTableText"/>
              <w:rPr>
                <w:lang w:val="en-GB" w:eastAsia="en-AU" w:bidi="ar-SA"/>
              </w:rPr>
            </w:pPr>
            <w:r w:rsidRPr="00552334">
              <w:rPr>
                <w:lang w:val="en-GB" w:eastAsia="en-AU" w:bidi="ar-SA"/>
              </w:rPr>
              <w:t>Edible oil spread (including margarine)</w:t>
            </w:r>
          </w:p>
          <w:p w14:paraId="4959E041" w14:textId="77777777" w:rsidR="0051780C" w:rsidRPr="00552334" w:rsidRDefault="0051780C" w:rsidP="00A573C4">
            <w:pPr>
              <w:pStyle w:val="FSTableText"/>
              <w:rPr>
                <w:lang w:val="en-GB" w:eastAsia="en-AU" w:bidi="ar-SA"/>
              </w:rPr>
            </w:pPr>
          </w:p>
        </w:tc>
        <w:tc>
          <w:tcPr>
            <w:tcW w:w="1134" w:type="dxa"/>
            <w:vAlign w:val="center"/>
          </w:tcPr>
          <w:p w14:paraId="17FCF728" w14:textId="77777777" w:rsidR="0051780C" w:rsidRPr="00962376" w:rsidRDefault="0051780C" w:rsidP="00A573C4">
            <w:pPr>
              <w:pStyle w:val="FSTableText"/>
              <w:rPr>
                <w:lang w:val="en-GB"/>
              </w:rPr>
            </w:pPr>
            <w:r>
              <w:rPr>
                <w:lang w:val="en-GB" w:eastAsia="en-AU" w:bidi="ar-SA"/>
              </w:rPr>
              <w:t xml:space="preserve">section </w:t>
            </w:r>
            <w:r w:rsidRPr="00552334">
              <w:rPr>
                <w:lang w:val="en-GB" w:eastAsia="en-AU" w:bidi="ar-SA"/>
              </w:rPr>
              <w:t>2.4.2</w:t>
            </w:r>
            <w:r>
              <w:rPr>
                <w:lang w:val="en-GB" w:eastAsia="en-AU" w:bidi="ar-SA"/>
              </w:rPr>
              <w:t>—</w:t>
            </w:r>
            <w:r w:rsidRPr="00552334">
              <w:rPr>
                <w:lang w:val="en-GB" w:eastAsia="en-AU" w:bidi="ar-SA"/>
              </w:rPr>
              <w:t>2</w:t>
            </w:r>
          </w:p>
        </w:tc>
        <w:tc>
          <w:tcPr>
            <w:tcW w:w="1276" w:type="dxa"/>
            <w:vAlign w:val="center"/>
          </w:tcPr>
          <w:p w14:paraId="5EA26F54" w14:textId="77777777" w:rsidR="0051780C" w:rsidRPr="00962376" w:rsidRDefault="0051780C" w:rsidP="00A573C4">
            <w:pPr>
              <w:pStyle w:val="FSTableText"/>
              <w:rPr>
                <w:lang w:val="en-GB"/>
              </w:rPr>
            </w:pPr>
            <w:r w:rsidRPr="00552334">
              <w:rPr>
                <w:lang w:val="en-GB" w:eastAsia="en-AU" w:bidi="ar-SA"/>
              </w:rPr>
              <w:t>Total PS equiv</w:t>
            </w:r>
          </w:p>
        </w:tc>
        <w:tc>
          <w:tcPr>
            <w:tcW w:w="1842" w:type="dxa"/>
            <w:vAlign w:val="center"/>
          </w:tcPr>
          <w:p w14:paraId="1895D364" w14:textId="77777777" w:rsidR="0051780C" w:rsidRPr="00962376" w:rsidRDefault="0051780C" w:rsidP="00A573C4">
            <w:pPr>
              <w:pStyle w:val="FSTableText"/>
              <w:jc w:val="center"/>
              <w:rPr>
                <w:lang w:val="en-GB"/>
              </w:rPr>
            </w:pPr>
            <w:r w:rsidRPr="00552334">
              <w:rPr>
                <w:lang w:val="en-GB" w:eastAsia="en-AU" w:bidi="ar-SA"/>
              </w:rPr>
              <w:t>82 g/kg</w:t>
            </w:r>
          </w:p>
        </w:tc>
        <w:tc>
          <w:tcPr>
            <w:tcW w:w="3544" w:type="dxa"/>
            <w:vAlign w:val="center"/>
          </w:tcPr>
          <w:p w14:paraId="46DB700E" w14:textId="77777777" w:rsidR="0051780C" w:rsidRPr="00552334" w:rsidRDefault="0051780C" w:rsidP="00A573C4">
            <w:pPr>
              <w:pStyle w:val="FSTableText"/>
              <w:rPr>
                <w:lang w:val="en-GB" w:eastAsia="en-AU" w:bidi="ar-SA"/>
              </w:rPr>
            </w:pPr>
            <w:r w:rsidRPr="00552334">
              <w:rPr>
                <w:lang w:val="en-GB" w:eastAsia="en-AU"/>
              </w:rPr>
              <w:t>The total saturated and trans fatty acids are no more than 28% of the total fatty acid content of the food</w:t>
            </w:r>
          </w:p>
        </w:tc>
      </w:tr>
      <w:tr w:rsidR="0051780C" w:rsidRPr="00552334" w14:paraId="6A743379" w14:textId="77777777" w:rsidTr="00A573C4">
        <w:trPr>
          <w:trHeight w:val="737"/>
        </w:trPr>
        <w:tc>
          <w:tcPr>
            <w:tcW w:w="1418" w:type="dxa"/>
            <w:tcBorders>
              <w:bottom w:val="single" w:sz="4" w:space="0" w:color="auto"/>
            </w:tcBorders>
            <w:vAlign w:val="center"/>
          </w:tcPr>
          <w:p w14:paraId="5B852FC5" w14:textId="77777777" w:rsidR="0051780C" w:rsidRPr="00552334" w:rsidRDefault="0051780C" w:rsidP="00A573C4">
            <w:pPr>
              <w:pStyle w:val="FSTableText"/>
              <w:rPr>
                <w:lang w:val="en-GB" w:eastAsia="en-AU" w:bidi="ar-SA"/>
              </w:rPr>
            </w:pPr>
            <w:r w:rsidRPr="00552334">
              <w:rPr>
                <w:lang w:val="en-GB" w:eastAsia="en-AU" w:bidi="ar-SA"/>
              </w:rPr>
              <w:t>Cheese and processed cheese</w:t>
            </w:r>
          </w:p>
        </w:tc>
        <w:tc>
          <w:tcPr>
            <w:tcW w:w="1134" w:type="dxa"/>
            <w:tcBorders>
              <w:bottom w:val="single" w:sz="4" w:space="0" w:color="auto"/>
            </w:tcBorders>
            <w:vAlign w:val="center"/>
          </w:tcPr>
          <w:p w14:paraId="1F8671F5" w14:textId="77777777" w:rsidR="0051780C" w:rsidRPr="00552334" w:rsidRDefault="0051780C" w:rsidP="00A573C4">
            <w:pPr>
              <w:pStyle w:val="FSTableText"/>
              <w:rPr>
                <w:lang w:val="en-GB" w:eastAsia="en-AU" w:bidi="ar-SA"/>
              </w:rPr>
            </w:pPr>
            <w:r>
              <w:rPr>
                <w:lang w:val="en-GB" w:eastAsia="en-AU" w:bidi="ar-SA"/>
              </w:rPr>
              <w:t xml:space="preserve">section </w:t>
            </w:r>
            <w:r w:rsidRPr="00552334">
              <w:rPr>
                <w:lang w:val="en-GB" w:eastAsia="en-AU" w:bidi="ar-SA"/>
              </w:rPr>
              <w:t>2.5.4</w:t>
            </w:r>
            <w:r>
              <w:rPr>
                <w:lang w:val="en-GB" w:eastAsia="en-AU" w:bidi="ar-SA"/>
              </w:rPr>
              <w:t>—</w:t>
            </w:r>
            <w:r w:rsidRPr="00552334">
              <w:rPr>
                <w:lang w:val="en-GB" w:eastAsia="en-AU" w:bidi="ar-SA"/>
              </w:rPr>
              <w:t>4</w:t>
            </w:r>
          </w:p>
        </w:tc>
        <w:tc>
          <w:tcPr>
            <w:tcW w:w="1276" w:type="dxa"/>
            <w:tcBorders>
              <w:bottom w:val="single" w:sz="4" w:space="0" w:color="auto"/>
            </w:tcBorders>
            <w:vAlign w:val="center"/>
          </w:tcPr>
          <w:p w14:paraId="03CE923C" w14:textId="6DA7D661" w:rsidR="0051780C" w:rsidRPr="00552334" w:rsidRDefault="0051780C" w:rsidP="00A573C4">
            <w:pPr>
              <w:pStyle w:val="FSTableText"/>
              <w:rPr>
                <w:lang w:val="en-GB" w:eastAsia="en-AU" w:bidi="ar-SA"/>
              </w:rPr>
            </w:pPr>
            <w:r w:rsidRPr="00552334">
              <w:rPr>
                <w:lang w:val="en-GB" w:eastAsia="en-AU" w:bidi="ar-SA"/>
              </w:rPr>
              <w:t>Tall oil phytosterol esters</w:t>
            </w:r>
            <w:r w:rsidR="00F30DEC" w:rsidRPr="00F30DEC">
              <w:rPr>
                <w:vertAlign w:val="superscript"/>
                <w:lang w:val="en-GB" w:eastAsia="en-AU" w:bidi="ar-SA"/>
              </w:rPr>
              <w:t>3</w:t>
            </w:r>
            <w:r w:rsidR="00F30DEC">
              <w:rPr>
                <w:lang w:val="en-GB" w:eastAsia="en-AU" w:bidi="ar-SA"/>
              </w:rPr>
              <w:t xml:space="preserve"> </w:t>
            </w:r>
            <w:r w:rsidRPr="00E10D8F">
              <w:rPr>
                <w:lang w:val="en-GB" w:eastAsia="en-AU" w:bidi="ar-SA"/>
              </w:rPr>
              <w:t>(Total PS equiv)</w:t>
            </w:r>
          </w:p>
        </w:tc>
        <w:tc>
          <w:tcPr>
            <w:tcW w:w="1842" w:type="dxa"/>
            <w:tcBorders>
              <w:bottom w:val="single" w:sz="4" w:space="0" w:color="auto"/>
            </w:tcBorders>
            <w:vAlign w:val="center"/>
          </w:tcPr>
          <w:p w14:paraId="26CCAD30" w14:textId="77777777" w:rsidR="0051780C" w:rsidRPr="00552334" w:rsidRDefault="0051780C" w:rsidP="00A573C4">
            <w:pPr>
              <w:pStyle w:val="FSTableText"/>
              <w:jc w:val="center"/>
              <w:rPr>
                <w:lang w:val="en-GB" w:eastAsia="en-AU" w:bidi="ar-SA"/>
              </w:rPr>
            </w:pPr>
            <w:r w:rsidRPr="00552334">
              <w:rPr>
                <w:lang w:val="en-GB" w:eastAsia="en-AU" w:bidi="ar-SA"/>
              </w:rPr>
              <w:t>90 g/kg</w:t>
            </w:r>
          </w:p>
          <w:p w14:paraId="151CD66B" w14:textId="77777777" w:rsidR="0051780C" w:rsidRPr="00552334" w:rsidRDefault="0051780C" w:rsidP="00A573C4">
            <w:pPr>
              <w:pStyle w:val="FSTableText"/>
              <w:jc w:val="center"/>
              <w:rPr>
                <w:lang w:val="en-GB" w:eastAsia="en-AU" w:bidi="ar-SA"/>
              </w:rPr>
            </w:pPr>
          </w:p>
          <w:p w14:paraId="0E5A8165" w14:textId="77777777" w:rsidR="0051780C" w:rsidRPr="00552334" w:rsidRDefault="0051780C" w:rsidP="00A573C4">
            <w:pPr>
              <w:pStyle w:val="FSTableText"/>
              <w:jc w:val="center"/>
              <w:rPr>
                <w:lang w:val="en-GB" w:eastAsia="en-AU" w:bidi="ar-SA"/>
              </w:rPr>
            </w:pPr>
            <w:r w:rsidRPr="00552334">
              <w:rPr>
                <w:lang w:val="en-GB" w:eastAsia="en-AU" w:bidi="ar-SA"/>
              </w:rPr>
              <w:t>(54 g/kg)</w:t>
            </w:r>
          </w:p>
        </w:tc>
        <w:tc>
          <w:tcPr>
            <w:tcW w:w="3544" w:type="dxa"/>
            <w:tcBorders>
              <w:bottom w:val="single" w:sz="4" w:space="0" w:color="auto"/>
            </w:tcBorders>
            <w:vAlign w:val="center"/>
          </w:tcPr>
          <w:p w14:paraId="4122ADD9" w14:textId="77777777" w:rsidR="0051780C" w:rsidRPr="00552334" w:rsidRDefault="0051780C" w:rsidP="00A573C4">
            <w:pPr>
              <w:pStyle w:val="FSTableText"/>
              <w:rPr>
                <w:lang w:val="en-GB" w:eastAsia="en-AU" w:bidi="ar-SA"/>
              </w:rPr>
            </w:pPr>
            <w:r w:rsidRPr="00552334">
              <w:rPr>
                <w:lang w:val="en-GB" w:eastAsia="en-AU" w:bidi="ar-SA"/>
              </w:rPr>
              <w:t>With no more than 12 g total fat/100g</w:t>
            </w:r>
          </w:p>
        </w:tc>
      </w:tr>
    </w:tbl>
    <w:p w14:paraId="06E79A67" w14:textId="77777777" w:rsidR="0051780C" w:rsidRPr="00552334" w:rsidRDefault="0051780C" w:rsidP="0051780C">
      <w:pPr>
        <w:rPr>
          <w:sz w:val="20"/>
          <w:szCs w:val="20"/>
          <w:lang w:val="en-GB"/>
        </w:rPr>
      </w:pPr>
      <w:r w:rsidRPr="00552334">
        <w:rPr>
          <w:sz w:val="20"/>
          <w:szCs w:val="20"/>
          <w:lang w:val="en-GB"/>
        </w:rPr>
        <w:t>Abbreviations: PS = plant sterols; equiv = equivalents</w:t>
      </w:r>
    </w:p>
    <w:p w14:paraId="7E1B150A" w14:textId="77777777" w:rsidR="0051780C" w:rsidRPr="00552334" w:rsidRDefault="0051780C" w:rsidP="0051780C">
      <w:pPr>
        <w:ind w:left="142" w:hanging="142"/>
        <w:rPr>
          <w:sz w:val="20"/>
          <w:szCs w:val="20"/>
          <w:lang w:val="en-GB"/>
        </w:rPr>
      </w:pPr>
      <w:r w:rsidRPr="00552334">
        <w:rPr>
          <w:sz w:val="20"/>
          <w:vertAlign w:val="superscript"/>
          <w:lang w:val="en-GB"/>
        </w:rPr>
        <w:t xml:space="preserve">1 </w:t>
      </w:r>
      <w:r w:rsidRPr="00552334">
        <w:rPr>
          <w:sz w:val="20"/>
          <w:szCs w:val="20"/>
          <w:lang w:val="en-GB"/>
        </w:rPr>
        <w:t>See Appendix 2 for corresponding Harvest food classification names and codes.</w:t>
      </w:r>
    </w:p>
    <w:p w14:paraId="7003269A" w14:textId="7898B08A" w:rsidR="0051780C" w:rsidRDefault="0051780C" w:rsidP="0051780C">
      <w:pPr>
        <w:ind w:left="142" w:hanging="142"/>
        <w:rPr>
          <w:sz w:val="20"/>
          <w:szCs w:val="20"/>
          <w:lang w:val="en-GB"/>
        </w:rPr>
      </w:pPr>
      <w:r w:rsidRPr="00E10D8F">
        <w:rPr>
          <w:sz w:val="20"/>
          <w:szCs w:val="20"/>
          <w:vertAlign w:val="superscript"/>
          <w:lang w:val="en-GB"/>
        </w:rPr>
        <w:t>2</w:t>
      </w:r>
      <w:r w:rsidRPr="00552334">
        <w:rPr>
          <w:sz w:val="20"/>
          <w:szCs w:val="20"/>
          <w:lang w:val="en-GB"/>
        </w:rPr>
        <w:t xml:space="preserve"> </w:t>
      </w:r>
      <w:r w:rsidR="00BB2EAA">
        <w:rPr>
          <w:sz w:val="20"/>
          <w:szCs w:val="20"/>
          <w:lang w:val="en-GB"/>
        </w:rPr>
        <w:t>S</w:t>
      </w:r>
      <w:r w:rsidRPr="00552334">
        <w:rPr>
          <w:sz w:val="20"/>
          <w:szCs w:val="20"/>
          <w:lang w:val="en-GB"/>
        </w:rPr>
        <w:t>ection 1.1.2</w:t>
      </w:r>
      <w:r>
        <w:rPr>
          <w:rFonts w:cs="Arial"/>
          <w:sz w:val="20"/>
          <w:szCs w:val="20"/>
          <w:lang w:val="en-GB"/>
        </w:rPr>
        <w:t>—</w:t>
      </w:r>
      <w:r w:rsidRPr="00552334">
        <w:rPr>
          <w:sz w:val="20"/>
          <w:szCs w:val="20"/>
          <w:lang w:val="en-GB"/>
        </w:rPr>
        <w:t>2</w:t>
      </w:r>
      <w:r>
        <w:rPr>
          <w:sz w:val="20"/>
          <w:szCs w:val="20"/>
          <w:lang w:val="en-GB"/>
        </w:rPr>
        <w:t xml:space="preserve"> in the Code</w:t>
      </w:r>
      <w:r w:rsidRPr="00552334">
        <w:rPr>
          <w:sz w:val="20"/>
          <w:szCs w:val="20"/>
          <w:lang w:val="en-GB"/>
        </w:rPr>
        <w:t xml:space="preserve"> defines ‘total plant sterol equivalents’ as the total amount of phytosterols, phytostanols and phytosterols, and phytostanols following hydrolysis of any phytosterol esters and phytostanols esters. </w:t>
      </w:r>
    </w:p>
    <w:p w14:paraId="5AD828CB" w14:textId="137B5113" w:rsidR="00F30DEC" w:rsidRPr="00552334" w:rsidRDefault="00F30DEC" w:rsidP="0051780C">
      <w:pPr>
        <w:ind w:left="142" w:hanging="142"/>
        <w:rPr>
          <w:sz w:val="20"/>
          <w:szCs w:val="20"/>
          <w:lang w:val="en-GB"/>
        </w:rPr>
      </w:pPr>
      <w:r w:rsidRPr="00F30DEC">
        <w:rPr>
          <w:sz w:val="20"/>
          <w:szCs w:val="20"/>
          <w:vertAlign w:val="superscript"/>
          <w:lang w:val="en-GB"/>
        </w:rPr>
        <w:t>3</w:t>
      </w:r>
      <w:r>
        <w:rPr>
          <w:sz w:val="20"/>
          <w:szCs w:val="20"/>
          <w:lang w:val="en-GB"/>
        </w:rPr>
        <w:t xml:space="preserve"> A</w:t>
      </w:r>
      <w:r w:rsidRPr="00F30DEC">
        <w:rPr>
          <w:sz w:val="20"/>
          <w:szCs w:val="20"/>
          <w:lang w:val="en-GB"/>
        </w:rPr>
        <w:t xml:space="preserve"> previous FSANZ assessment concluded that vegetable-oil derived and tall-oil derived phytosterols were equivalent in terms of cholesterol lowering effects and food safety </w:t>
      </w:r>
      <w:r w:rsidRPr="00F30DEC">
        <w:rPr>
          <w:sz w:val="20"/>
          <w:szCs w:val="20"/>
          <w:lang w:val="en-GB"/>
        </w:rPr>
        <w:fldChar w:fldCharType="begin" w:fldLock="1"/>
      </w:r>
      <w:r w:rsidRPr="00F30DEC">
        <w:rPr>
          <w:sz w:val="20"/>
          <w:szCs w:val="20"/>
          <w:lang w:val="en-GB"/>
        </w:rPr>
        <w:instrText>ADDIN CSL_CITATION { "citationItems" : [ { "id" : "ITEM-1", "itemData" : { "author" : [ { "dropping-particle" : "", "family" : "FSANZ", "given" : "", "non-dropping-particle" : "", "parse-names" : false, "suffix" : "" } ], "id" : "ITEM-1", "issued" : { "date-parts" : [ [ "2010" ] ] }, "number-of-pages" : "58", "publisher-place" : "Canberra", "title" : "Supporting document 1 - Risk Assessment Report. Application A1024 - Equivalence of Plant Stanols, Sterols &amp; their Fatty Acids Esters", "type" : "report" }, "uris" : [ "http://www.mendeley.com/documents/?uuid=1e50373d-6fdc-4d1f-aa1b-cc5e1d92ac11" ] } ], "mendeley" : { "formattedCitation" : "(FSANZ 2010a)", "plainTextFormattedCitation" : "(FSANZ 2010a)", "previouslyFormattedCitation" : "(FSANZ 2010a)" }, "properties" : { "noteIndex" : 0 }, "schema" : "https://github.com/citation-style-language/schema/raw/master/csl-citation.json" }</w:instrText>
      </w:r>
      <w:r w:rsidRPr="00F30DEC">
        <w:rPr>
          <w:sz w:val="20"/>
          <w:szCs w:val="20"/>
          <w:lang w:val="en-GB"/>
        </w:rPr>
        <w:fldChar w:fldCharType="separate"/>
      </w:r>
      <w:r w:rsidRPr="00F30DEC">
        <w:rPr>
          <w:sz w:val="20"/>
          <w:szCs w:val="20"/>
          <w:lang w:val="en-GB"/>
        </w:rPr>
        <w:t>(FSANZ 2010a)</w:t>
      </w:r>
      <w:r w:rsidRPr="00F30DEC">
        <w:rPr>
          <w:sz w:val="20"/>
          <w:szCs w:val="20"/>
          <w:lang w:val="en-GB"/>
        </w:rPr>
        <w:fldChar w:fldCharType="end"/>
      </w:r>
    </w:p>
    <w:p w14:paraId="43ECD975" w14:textId="77777777" w:rsidR="0051780C" w:rsidRPr="00552334" w:rsidRDefault="0051780C" w:rsidP="0051780C">
      <w:pPr>
        <w:ind w:left="142" w:hanging="142"/>
        <w:rPr>
          <w:sz w:val="20"/>
          <w:szCs w:val="20"/>
          <w:lang w:val="en-GB"/>
        </w:rPr>
      </w:pPr>
    </w:p>
    <w:p w14:paraId="4DE0F31F" w14:textId="614E0D03" w:rsidR="0051780C" w:rsidRPr="00552334" w:rsidRDefault="0051780C" w:rsidP="00B14D36">
      <w:pPr>
        <w:pStyle w:val="Heading3"/>
      </w:pPr>
      <w:bookmarkStart w:id="324" w:name="_Toc466903399"/>
      <w:bookmarkStart w:id="325" w:name="_Toc466909064"/>
      <w:bookmarkStart w:id="326" w:name="_Toc466986180"/>
      <w:bookmarkStart w:id="327" w:name="_Toc466986233"/>
      <w:bookmarkStart w:id="328" w:name="_Toc467052899"/>
      <w:bookmarkStart w:id="329" w:name="_Toc467064051"/>
      <w:bookmarkStart w:id="330" w:name="_Toc467064498"/>
      <w:bookmarkStart w:id="331" w:name="_Toc467077505"/>
      <w:bookmarkStart w:id="332" w:name="_Toc477274231"/>
      <w:r w:rsidRPr="00552334">
        <w:t>5.3.</w:t>
      </w:r>
      <w:r w:rsidR="000E6116">
        <w:t>3</w:t>
      </w:r>
      <w:r>
        <w:tab/>
      </w:r>
      <w:r w:rsidRPr="00552334">
        <w:t>Age groups assessed</w:t>
      </w:r>
      <w:bookmarkEnd w:id="324"/>
      <w:bookmarkEnd w:id="325"/>
      <w:bookmarkEnd w:id="326"/>
      <w:bookmarkEnd w:id="327"/>
      <w:bookmarkEnd w:id="328"/>
      <w:bookmarkEnd w:id="329"/>
      <w:bookmarkEnd w:id="330"/>
      <w:bookmarkEnd w:id="331"/>
      <w:bookmarkEnd w:id="332"/>
    </w:p>
    <w:p w14:paraId="49DBC068" w14:textId="455E4F43" w:rsidR="0051780C" w:rsidRPr="00962376" w:rsidRDefault="0051780C" w:rsidP="0051780C">
      <w:pPr>
        <w:rPr>
          <w:lang w:val="en-GB"/>
        </w:rPr>
      </w:pPr>
      <w:r w:rsidRPr="00962376">
        <w:rPr>
          <w:lang w:val="en-GB"/>
        </w:rPr>
        <w:t>Mean and 90</w:t>
      </w:r>
      <w:r w:rsidRPr="00962376">
        <w:rPr>
          <w:vertAlign w:val="superscript"/>
          <w:lang w:val="en-GB"/>
        </w:rPr>
        <w:t>th</w:t>
      </w:r>
      <w:r w:rsidRPr="00962376">
        <w:rPr>
          <w:lang w:val="en-GB"/>
        </w:rPr>
        <w:t xml:space="preserve"> percentile (P90) plant sterol exposures were derived for the age groups listed in Table 2. The adult age group (18 years and above) was split so that results could be reported for the</w:t>
      </w:r>
      <w:r w:rsidRPr="00552334">
        <w:rPr>
          <w:rFonts w:ascii="Calibri" w:hAnsi="Calibri" w:cs="Calibri"/>
          <w:szCs w:val="22"/>
          <w:lang w:val="en-GB" w:eastAsia="en-GB" w:bidi="ar-SA"/>
        </w:rPr>
        <w:t xml:space="preserve"> </w:t>
      </w:r>
      <w:r w:rsidRPr="00552334">
        <w:rPr>
          <w:lang w:val="en-GB"/>
        </w:rPr>
        <w:t xml:space="preserve">intended target group of individuals aged 45 years and </w:t>
      </w:r>
      <w:r w:rsidR="00FC159B">
        <w:rPr>
          <w:lang w:val="en-GB"/>
        </w:rPr>
        <w:t>above</w:t>
      </w:r>
      <w:r w:rsidRPr="00552334">
        <w:rPr>
          <w:lang w:val="en-GB"/>
        </w:rPr>
        <w:t>.</w:t>
      </w:r>
      <w:r w:rsidRPr="00962376">
        <w:rPr>
          <w:lang w:val="en-GB"/>
        </w:rPr>
        <w:t xml:space="preserve"> </w:t>
      </w:r>
    </w:p>
    <w:p w14:paraId="0E712EF3" w14:textId="77777777" w:rsidR="0051780C" w:rsidRPr="00962376" w:rsidRDefault="0051780C" w:rsidP="0051780C">
      <w:pPr>
        <w:rPr>
          <w:lang w:val="en-GB"/>
        </w:rPr>
      </w:pPr>
    </w:p>
    <w:p w14:paraId="2722D999" w14:textId="77777777" w:rsidR="0051780C" w:rsidRPr="00962376" w:rsidRDefault="0051780C" w:rsidP="0051780C">
      <w:pPr>
        <w:pStyle w:val="FSTableTitle"/>
        <w:rPr>
          <w:lang w:val="en-GB"/>
        </w:rPr>
      </w:pPr>
      <w:r w:rsidRPr="00962376">
        <w:rPr>
          <w:lang w:val="en-GB"/>
        </w:rPr>
        <w:t>Table 2</w:t>
      </w:r>
      <w:r>
        <w:rPr>
          <w:lang w:val="en-GB"/>
        </w:rPr>
        <w:t xml:space="preserve">: </w:t>
      </w:r>
      <w:r w:rsidRPr="00962376">
        <w:rPr>
          <w:lang w:val="en-GB"/>
        </w:rPr>
        <w:t>Population sub-groups used in this assessment</w:t>
      </w:r>
    </w:p>
    <w:p w14:paraId="7F029AB2" w14:textId="77777777" w:rsidR="0051780C" w:rsidRPr="00962376" w:rsidRDefault="0051780C" w:rsidP="0051780C">
      <w:pPr>
        <w:rPr>
          <w:lang w:val="en-GB"/>
        </w:rPr>
      </w:pPr>
    </w:p>
    <w:tbl>
      <w:tblPr>
        <w:tblW w:w="5000" w:type="pct"/>
        <w:tblLook w:val="04A0" w:firstRow="1" w:lastRow="0" w:firstColumn="1" w:lastColumn="0" w:noHBand="0" w:noVBand="1"/>
      </w:tblPr>
      <w:tblGrid>
        <w:gridCol w:w="1529"/>
        <w:gridCol w:w="1840"/>
        <w:gridCol w:w="2268"/>
        <w:gridCol w:w="3649"/>
      </w:tblGrid>
      <w:tr w:rsidR="0051780C" w:rsidRPr="00552334" w14:paraId="1D2A6259" w14:textId="77777777" w:rsidTr="00A573C4">
        <w:trPr>
          <w:trHeight w:val="340"/>
        </w:trPr>
        <w:tc>
          <w:tcPr>
            <w:tcW w:w="823" w:type="pct"/>
            <w:tcBorders>
              <w:top w:val="single" w:sz="4" w:space="0" w:color="auto"/>
              <w:bottom w:val="single" w:sz="4" w:space="0" w:color="auto"/>
            </w:tcBorders>
            <w:vAlign w:val="center"/>
          </w:tcPr>
          <w:p w14:paraId="21F58FE2" w14:textId="77777777" w:rsidR="0051780C" w:rsidRPr="00962376" w:rsidRDefault="0051780C" w:rsidP="00A573C4">
            <w:pPr>
              <w:pStyle w:val="FSTableText"/>
              <w:rPr>
                <w:b/>
                <w:lang w:val="en-GB"/>
              </w:rPr>
            </w:pPr>
            <w:r w:rsidRPr="00962376">
              <w:rPr>
                <w:b/>
                <w:lang w:val="en-GB"/>
              </w:rPr>
              <w:t>Country</w:t>
            </w:r>
          </w:p>
        </w:tc>
        <w:tc>
          <w:tcPr>
            <w:tcW w:w="991" w:type="pct"/>
            <w:tcBorders>
              <w:top w:val="single" w:sz="4" w:space="0" w:color="auto"/>
              <w:bottom w:val="single" w:sz="4" w:space="0" w:color="auto"/>
            </w:tcBorders>
            <w:shd w:val="clear" w:color="auto" w:fill="auto"/>
            <w:vAlign w:val="center"/>
            <w:hideMark/>
          </w:tcPr>
          <w:p w14:paraId="649D9642" w14:textId="77777777" w:rsidR="0051780C" w:rsidRPr="00962376" w:rsidRDefault="0051780C" w:rsidP="00A573C4">
            <w:pPr>
              <w:pStyle w:val="FSTableText"/>
              <w:rPr>
                <w:b/>
                <w:lang w:val="en-GB"/>
              </w:rPr>
            </w:pPr>
            <w:r w:rsidRPr="00962376">
              <w:rPr>
                <w:b/>
                <w:lang w:val="en-GB"/>
              </w:rPr>
              <w:t>Survey</w:t>
            </w:r>
          </w:p>
        </w:tc>
        <w:tc>
          <w:tcPr>
            <w:tcW w:w="1221" w:type="pct"/>
            <w:tcBorders>
              <w:top w:val="single" w:sz="4" w:space="0" w:color="auto"/>
              <w:bottom w:val="single" w:sz="4" w:space="0" w:color="auto"/>
            </w:tcBorders>
            <w:shd w:val="clear" w:color="auto" w:fill="auto"/>
            <w:vAlign w:val="center"/>
            <w:hideMark/>
          </w:tcPr>
          <w:p w14:paraId="0C9A54EC" w14:textId="77777777" w:rsidR="0051780C" w:rsidRPr="00962376" w:rsidRDefault="0051780C" w:rsidP="00A573C4">
            <w:pPr>
              <w:pStyle w:val="FSTableText"/>
              <w:rPr>
                <w:b/>
                <w:lang w:val="en-GB"/>
              </w:rPr>
            </w:pPr>
            <w:r w:rsidRPr="00962376">
              <w:rPr>
                <w:b/>
                <w:lang w:val="en-GB"/>
              </w:rPr>
              <w:t>Population surveyed</w:t>
            </w:r>
          </w:p>
        </w:tc>
        <w:tc>
          <w:tcPr>
            <w:tcW w:w="1965" w:type="pct"/>
            <w:tcBorders>
              <w:top w:val="single" w:sz="4" w:space="0" w:color="auto"/>
              <w:bottom w:val="single" w:sz="4" w:space="0" w:color="auto"/>
            </w:tcBorders>
            <w:shd w:val="clear" w:color="auto" w:fill="auto"/>
            <w:vAlign w:val="center"/>
            <w:hideMark/>
          </w:tcPr>
          <w:p w14:paraId="17B88747" w14:textId="77777777" w:rsidR="0051780C" w:rsidRPr="00962376" w:rsidRDefault="0051780C" w:rsidP="00A573C4">
            <w:pPr>
              <w:pStyle w:val="FSTableText"/>
              <w:rPr>
                <w:b/>
                <w:lang w:val="en-GB"/>
              </w:rPr>
            </w:pPr>
            <w:r w:rsidRPr="00962376">
              <w:rPr>
                <w:b/>
                <w:lang w:val="en-GB"/>
              </w:rPr>
              <w:t xml:space="preserve">Population age-groups analysed </w:t>
            </w:r>
          </w:p>
        </w:tc>
      </w:tr>
      <w:tr w:rsidR="0051780C" w:rsidRPr="00552334" w14:paraId="67E5B7D7" w14:textId="77777777" w:rsidTr="00A573C4">
        <w:trPr>
          <w:trHeight w:val="20"/>
        </w:trPr>
        <w:tc>
          <w:tcPr>
            <w:tcW w:w="823" w:type="pct"/>
            <w:tcBorders>
              <w:top w:val="single" w:sz="4" w:space="0" w:color="auto"/>
              <w:bottom w:val="single" w:sz="4" w:space="0" w:color="auto"/>
            </w:tcBorders>
            <w:vAlign w:val="center"/>
          </w:tcPr>
          <w:p w14:paraId="7E0BA29B" w14:textId="77777777" w:rsidR="0051780C" w:rsidRPr="00962376" w:rsidRDefault="0051780C" w:rsidP="00A573C4">
            <w:pPr>
              <w:pStyle w:val="FSTableText"/>
              <w:rPr>
                <w:lang w:val="en-GB"/>
              </w:rPr>
            </w:pPr>
            <w:r w:rsidRPr="00962376">
              <w:rPr>
                <w:lang w:val="en-GB"/>
              </w:rPr>
              <w:t>Australia</w:t>
            </w:r>
          </w:p>
        </w:tc>
        <w:tc>
          <w:tcPr>
            <w:tcW w:w="991" w:type="pct"/>
            <w:tcBorders>
              <w:top w:val="single" w:sz="4" w:space="0" w:color="auto"/>
              <w:bottom w:val="single" w:sz="4" w:space="0" w:color="auto"/>
            </w:tcBorders>
            <w:shd w:val="clear" w:color="auto" w:fill="auto"/>
            <w:vAlign w:val="center"/>
          </w:tcPr>
          <w:p w14:paraId="1F6A0FF1" w14:textId="77777777" w:rsidR="0051780C" w:rsidRPr="00962376" w:rsidRDefault="0051780C" w:rsidP="00A573C4">
            <w:pPr>
              <w:pStyle w:val="FSTableText"/>
              <w:rPr>
                <w:lang w:val="en-GB"/>
              </w:rPr>
            </w:pPr>
            <w:r w:rsidRPr="00962376">
              <w:rPr>
                <w:lang w:val="en-GB"/>
              </w:rPr>
              <w:t>2011–12 NNPAS</w:t>
            </w:r>
          </w:p>
        </w:tc>
        <w:tc>
          <w:tcPr>
            <w:tcW w:w="1221" w:type="pct"/>
            <w:tcBorders>
              <w:top w:val="single" w:sz="4" w:space="0" w:color="auto"/>
              <w:bottom w:val="single" w:sz="4" w:space="0" w:color="auto"/>
            </w:tcBorders>
            <w:shd w:val="clear" w:color="auto" w:fill="auto"/>
            <w:vAlign w:val="center"/>
          </w:tcPr>
          <w:p w14:paraId="42F25F27" w14:textId="77777777" w:rsidR="0051780C" w:rsidRPr="00962376" w:rsidRDefault="0051780C" w:rsidP="00A573C4">
            <w:pPr>
              <w:pStyle w:val="FSTableText"/>
              <w:rPr>
                <w:lang w:val="en-GB"/>
              </w:rPr>
            </w:pPr>
            <w:r w:rsidRPr="00962376">
              <w:rPr>
                <w:lang w:val="en-GB"/>
              </w:rPr>
              <w:t>2 years and above</w:t>
            </w:r>
          </w:p>
        </w:tc>
        <w:tc>
          <w:tcPr>
            <w:tcW w:w="1965" w:type="pct"/>
            <w:tcBorders>
              <w:top w:val="single" w:sz="4" w:space="0" w:color="auto"/>
              <w:bottom w:val="single" w:sz="4" w:space="0" w:color="auto"/>
            </w:tcBorders>
            <w:shd w:val="clear" w:color="auto" w:fill="auto"/>
            <w:noWrap/>
            <w:vAlign w:val="center"/>
          </w:tcPr>
          <w:p w14:paraId="67392366" w14:textId="77777777" w:rsidR="0051780C" w:rsidRPr="00962376" w:rsidRDefault="0051780C" w:rsidP="00A573C4">
            <w:pPr>
              <w:pStyle w:val="FSTableText"/>
              <w:rPr>
                <w:lang w:val="en-GB"/>
              </w:rPr>
            </w:pPr>
            <w:r w:rsidRPr="00962376">
              <w:rPr>
                <w:lang w:val="en-GB"/>
              </w:rPr>
              <w:t>2–4 years</w:t>
            </w:r>
          </w:p>
          <w:p w14:paraId="160FDDCB" w14:textId="77777777" w:rsidR="0051780C" w:rsidRPr="00962376" w:rsidRDefault="0051780C" w:rsidP="00A573C4">
            <w:pPr>
              <w:pStyle w:val="FSTableText"/>
              <w:rPr>
                <w:lang w:val="en-GB"/>
              </w:rPr>
            </w:pPr>
            <w:r w:rsidRPr="00962376">
              <w:rPr>
                <w:lang w:val="en-GB"/>
              </w:rPr>
              <w:t>5–12 years</w:t>
            </w:r>
          </w:p>
          <w:p w14:paraId="79BC7123" w14:textId="77777777" w:rsidR="0051780C" w:rsidRPr="00962376" w:rsidRDefault="0051780C" w:rsidP="00A573C4">
            <w:pPr>
              <w:pStyle w:val="FSTableText"/>
              <w:rPr>
                <w:lang w:val="en-GB"/>
              </w:rPr>
            </w:pPr>
            <w:r w:rsidRPr="00962376">
              <w:rPr>
                <w:lang w:val="en-GB"/>
              </w:rPr>
              <w:t>13–17 years</w:t>
            </w:r>
          </w:p>
          <w:p w14:paraId="4D4D34FD" w14:textId="77777777" w:rsidR="0051780C" w:rsidRPr="00962376" w:rsidRDefault="0051780C" w:rsidP="00A573C4">
            <w:pPr>
              <w:pStyle w:val="FSTableText"/>
              <w:rPr>
                <w:lang w:val="en-GB"/>
              </w:rPr>
            </w:pPr>
            <w:r w:rsidRPr="00962376">
              <w:rPr>
                <w:lang w:val="en-GB"/>
              </w:rPr>
              <w:t>18–44 years</w:t>
            </w:r>
          </w:p>
          <w:p w14:paraId="25F6AFB2" w14:textId="77777777" w:rsidR="0051780C" w:rsidRPr="00962376" w:rsidRDefault="0051780C" w:rsidP="00A573C4">
            <w:pPr>
              <w:pStyle w:val="FSTableText"/>
              <w:rPr>
                <w:lang w:val="en-GB"/>
              </w:rPr>
            </w:pPr>
            <w:r w:rsidRPr="00962376">
              <w:rPr>
                <w:lang w:val="en-GB"/>
              </w:rPr>
              <w:t>45+ years</w:t>
            </w:r>
          </w:p>
          <w:p w14:paraId="03BEF4B8" w14:textId="77777777" w:rsidR="0051780C" w:rsidRPr="00962376" w:rsidRDefault="0051780C" w:rsidP="00A573C4">
            <w:pPr>
              <w:pStyle w:val="FSTableText"/>
              <w:rPr>
                <w:lang w:val="en-GB"/>
              </w:rPr>
            </w:pPr>
            <w:r w:rsidRPr="00962376">
              <w:rPr>
                <w:lang w:val="en-GB"/>
              </w:rPr>
              <w:t xml:space="preserve">2+ years (all ages) </w:t>
            </w:r>
          </w:p>
          <w:p w14:paraId="4FBEDB09" w14:textId="77777777" w:rsidR="0051780C" w:rsidRPr="00962376" w:rsidRDefault="0051780C" w:rsidP="00A573C4">
            <w:pPr>
              <w:pStyle w:val="FSTableText"/>
              <w:rPr>
                <w:highlight w:val="yellow"/>
                <w:lang w:val="en-GB"/>
              </w:rPr>
            </w:pPr>
          </w:p>
        </w:tc>
      </w:tr>
      <w:tr w:rsidR="0051780C" w:rsidRPr="00552334" w14:paraId="77567DBA" w14:textId="77777777" w:rsidTr="00A573C4">
        <w:trPr>
          <w:trHeight w:val="20"/>
        </w:trPr>
        <w:tc>
          <w:tcPr>
            <w:tcW w:w="823" w:type="pct"/>
            <w:vMerge w:val="restart"/>
            <w:tcBorders>
              <w:top w:val="single" w:sz="4" w:space="0" w:color="auto"/>
              <w:bottom w:val="single" w:sz="4" w:space="0" w:color="auto"/>
            </w:tcBorders>
            <w:vAlign w:val="center"/>
          </w:tcPr>
          <w:p w14:paraId="72CAAF8F" w14:textId="77777777" w:rsidR="0051780C" w:rsidRPr="00962376" w:rsidRDefault="0051780C" w:rsidP="00A573C4">
            <w:pPr>
              <w:pStyle w:val="FSTableText"/>
              <w:rPr>
                <w:lang w:val="en-GB"/>
              </w:rPr>
            </w:pPr>
            <w:r w:rsidRPr="00962376">
              <w:rPr>
                <w:lang w:val="en-GB"/>
              </w:rPr>
              <w:t>New Zealand</w:t>
            </w:r>
          </w:p>
        </w:tc>
        <w:tc>
          <w:tcPr>
            <w:tcW w:w="991" w:type="pct"/>
            <w:tcBorders>
              <w:top w:val="single" w:sz="4" w:space="0" w:color="auto"/>
            </w:tcBorders>
            <w:shd w:val="clear" w:color="auto" w:fill="auto"/>
            <w:vAlign w:val="center"/>
            <w:hideMark/>
          </w:tcPr>
          <w:p w14:paraId="64BDF5D6" w14:textId="77777777" w:rsidR="0051780C" w:rsidRPr="00962376" w:rsidRDefault="0051780C" w:rsidP="00A573C4">
            <w:pPr>
              <w:pStyle w:val="FSTableText"/>
              <w:rPr>
                <w:lang w:val="en-GB"/>
              </w:rPr>
            </w:pPr>
            <w:r w:rsidRPr="00962376">
              <w:rPr>
                <w:lang w:val="en-GB"/>
              </w:rPr>
              <w:t>2002 NZ NCNS</w:t>
            </w:r>
          </w:p>
        </w:tc>
        <w:tc>
          <w:tcPr>
            <w:tcW w:w="1221" w:type="pct"/>
            <w:tcBorders>
              <w:top w:val="single" w:sz="4" w:space="0" w:color="auto"/>
            </w:tcBorders>
            <w:shd w:val="clear" w:color="auto" w:fill="auto"/>
            <w:vAlign w:val="center"/>
            <w:hideMark/>
          </w:tcPr>
          <w:p w14:paraId="668CFA5E" w14:textId="77777777" w:rsidR="0051780C" w:rsidRPr="00962376" w:rsidRDefault="0051780C" w:rsidP="00A573C4">
            <w:pPr>
              <w:pStyle w:val="FSTableText"/>
              <w:rPr>
                <w:lang w:val="en-GB"/>
              </w:rPr>
            </w:pPr>
            <w:r w:rsidRPr="00962376">
              <w:rPr>
                <w:lang w:val="en-GB"/>
              </w:rPr>
              <w:t>5–14 years</w:t>
            </w:r>
          </w:p>
        </w:tc>
        <w:tc>
          <w:tcPr>
            <w:tcW w:w="1965" w:type="pct"/>
            <w:tcBorders>
              <w:top w:val="single" w:sz="4" w:space="0" w:color="auto"/>
            </w:tcBorders>
            <w:shd w:val="clear" w:color="auto" w:fill="auto"/>
            <w:noWrap/>
            <w:vAlign w:val="center"/>
            <w:hideMark/>
          </w:tcPr>
          <w:p w14:paraId="496DCA01" w14:textId="77777777" w:rsidR="0051780C" w:rsidRPr="00962376" w:rsidRDefault="0051780C" w:rsidP="00A573C4">
            <w:pPr>
              <w:pStyle w:val="FSTableText"/>
              <w:rPr>
                <w:lang w:val="en-GB"/>
              </w:rPr>
            </w:pPr>
            <w:r w:rsidRPr="00962376">
              <w:rPr>
                <w:lang w:val="en-GB"/>
              </w:rPr>
              <w:t>5–12 years</w:t>
            </w:r>
          </w:p>
          <w:p w14:paraId="13EB6ABF" w14:textId="77777777" w:rsidR="0051780C" w:rsidRPr="00962376" w:rsidRDefault="0051780C" w:rsidP="00A573C4">
            <w:pPr>
              <w:pStyle w:val="FSTableText"/>
              <w:rPr>
                <w:lang w:val="en-GB"/>
              </w:rPr>
            </w:pPr>
            <w:r w:rsidRPr="00962376">
              <w:rPr>
                <w:lang w:val="en-GB"/>
              </w:rPr>
              <w:t>13–14 years</w:t>
            </w:r>
          </w:p>
          <w:p w14:paraId="496AE7D2" w14:textId="77777777" w:rsidR="0051780C" w:rsidRPr="00962376" w:rsidRDefault="0051780C" w:rsidP="00A573C4">
            <w:pPr>
              <w:pStyle w:val="FSTableText"/>
              <w:rPr>
                <w:lang w:val="en-GB"/>
              </w:rPr>
            </w:pPr>
            <w:r w:rsidRPr="00962376">
              <w:rPr>
                <w:lang w:val="en-GB"/>
              </w:rPr>
              <w:t>5+ years (all ages)</w:t>
            </w:r>
          </w:p>
          <w:p w14:paraId="254C333D" w14:textId="77777777" w:rsidR="0051780C" w:rsidRPr="00962376" w:rsidRDefault="0051780C" w:rsidP="00A573C4">
            <w:pPr>
              <w:pStyle w:val="FSTableText"/>
              <w:rPr>
                <w:highlight w:val="yellow"/>
                <w:lang w:val="en-GB"/>
              </w:rPr>
            </w:pPr>
          </w:p>
        </w:tc>
      </w:tr>
      <w:tr w:rsidR="0051780C" w:rsidRPr="00552334" w14:paraId="7E1C787B" w14:textId="77777777" w:rsidTr="00A573C4">
        <w:trPr>
          <w:trHeight w:val="20"/>
        </w:trPr>
        <w:tc>
          <w:tcPr>
            <w:tcW w:w="823" w:type="pct"/>
            <w:vMerge/>
            <w:tcBorders>
              <w:bottom w:val="single" w:sz="4" w:space="0" w:color="auto"/>
            </w:tcBorders>
            <w:vAlign w:val="center"/>
          </w:tcPr>
          <w:p w14:paraId="4C224F37" w14:textId="77777777" w:rsidR="0051780C" w:rsidRPr="00962376" w:rsidRDefault="0051780C" w:rsidP="00A573C4">
            <w:pPr>
              <w:pStyle w:val="FSTableText"/>
              <w:rPr>
                <w:lang w:val="en-GB"/>
              </w:rPr>
            </w:pPr>
          </w:p>
        </w:tc>
        <w:tc>
          <w:tcPr>
            <w:tcW w:w="991" w:type="pct"/>
            <w:tcBorders>
              <w:bottom w:val="single" w:sz="4" w:space="0" w:color="auto"/>
            </w:tcBorders>
            <w:shd w:val="clear" w:color="auto" w:fill="auto"/>
            <w:vAlign w:val="center"/>
            <w:hideMark/>
          </w:tcPr>
          <w:p w14:paraId="5B45DA8E" w14:textId="77777777" w:rsidR="0051780C" w:rsidRPr="00962376" w:rsidRDefault="0051780C" w:rsidP="00A573C4">
            <w:pPr>
              <w:pStyle w:val="FSTableText"/>
              <w:rPr>
                <w:lang w:val="en-GB"/>
              </w:rPr>
            </w:pPr>
            <w:r w:rsidRPr="00962376">
              <w:rPr>
                <w:lang w:val="en-GB"/>
              </w:rPr>
              <w:t>2008 NZ ANS</w:t>
            </w:r>
          </w:p>
        </w:tc>
        <w:tc>
          <w:tcPr>
            <w:tcW w:w="1221" w:type="pct"/>
            <w:tcBorders>
              <w:bottom w:val="single" w:sz="4" w:space="0" w:color="auto"/>
            </w:tcBorders>
            <w:shd w:val="clear" w:color="auto" w:fill="auto"/>
            <w:vAlign w:val="center"/>
            <w:hideMark/>
          </w:tcPr>
          <w:p w14:paraId="21DE50CE" w14:textId="77777777" w:rsidR="0051780C" w:rsidRPr="00962376" w:rsidRDefault="0051780C" w:rsidP="00A573C4">
            <w:pPr>
              <w:pStyle w:val="FSTableText"/>
              <w:rPr>
                <w:lang w:val="en-GB"/>
              </w:rPr>
            </w:pPr>
            <w:r w:rsidRPr="00962376">
              <w:rPr>
                <w:lang w:val="en-GB"/>
              </w:rPr>
              <w:t>15 years and above</w:t>
            </w:r>
          </w:p>
        </w:tc>
        <w:tc>
          <w:tcPr>
            <w:tcW w:w="1965" w:type="pct"/>
            <w:tcBorders>
              <w:bottom w:val="single" w:sz="4" w:space="0" w:color="auto"/>
            </w:tcBorders>
            <w:shd w:val="clear" w:color="auto" w:fill="auto"/>
            <w:noWrap/>
            <w:vAlign w:val="center"/>
            <w:hideMark/>
          </w:tcPr>
          <w:p w14:paraId="68CEB2CB" w14:textId="77777777" w:rsidR="0051780C" w:rsidRPr="00962376" w:rsidRDefault="0051780C" w:rsidP="00A573C4">
            <w:pPr>
              <w:pStyle w:val="FSTableText"/>
              <w:rPr>
                <w:lang w:val="en-GB"/>
              </w:rPr>
            </w:pPr>
            <w:r w:rsidRPr="00962376">
              <w:rPr>
                <w:lang w:val="en-GB"/>
              </w:rPr>
              <w:t>15–17 years</w:t>
            </w:r>
          </w:p>
          <w:p w14:paraId="5CAE0C48" w14:textId="77777777" w:rsidR="0051780C" w:rsidRPr="00962376" w:rsidRDefault="0051780C" w:rsidP="00A573C4">
            <w:pPr>
              <w:pStyle w:val="FSTableText"/>
              <w:rPr>
                <w:lang w:val="en-GB"/>
              </w:rPr>
            </w:pPr>
            <w:r w:rsidRPr="00962376">
              <w:rPr>
                <w:lang w:val="en-GB"/>
              </w:rPr>
              <w:t>18–44 years</w:t>
            </w:r>
          </w:p>
          <w:p w14:paraId="1C1A0DA2" w14:textId="77777777" w:rsidR="0051780C" w:rsidRPr="00962376" w:rsidRDefault="0051780C" w:rsidP="00A573C4">
            <w:pPr>
              <w:pStyle w:val="FSTableText"/>
              <w:rPr>
                <w:lang w:val="en-GB"/>
              </w:rPr>
            </w:pPr>
            <w:r w:rsidRPr="00962376">
              <w:rPr>
                <w:lang w:val="en-GB"/>
              </w:rPr>
              <w:t>45+ years</w:t>
            </w:r>
          </w:p>
          <w:p w14:paraId="2E89D3C6" w14:textId="77777777" w:rsidR="0051780C" w:rsidRDefault="0051780C" w:rsidP="00A573C4">
            <w:pPr>
              <w:pStyle w:val="FSTableText"/>
              <w:rPr>
                <w:lang w:val="en-GB"/>
              </w:rPr>
            </w:pPr>
            <w:r w:rsidRPr="00962376">
              <w:rPr>
                <w:lang w:val="en-GB"/>
              </w:rPr>
              <w:t>15+ years (all ages)</w:t>
            </w:r>
          </w:p>
          <w:p w14:paraId="788E1730" w14:textId="77777777" w:rsidR="0051780C" w:rsidRPr="00962376" w:rsidRDefault="0051780C" w:rsidP="00A573C4">
            <w:pPr>
              <w:pStyle w:val="FSTableText"/>
              <w:rPr>
                <w:highlight w:val="yellow"/>
                <w:lang w:val="en-GB"/>
              </w:rPr>
            </w:pPr>
          </w:p>
        </w:tc>
      </w:tr>
    </w:tbl>
    <w:p w14:paraId="2547040A" w14:textId="4217FF9C" w:rsidR="0051780C" w:rsidRPr="00552334" w:rsidRDefault="000E6116" w:rsidP="00B14D36">
      <w:pPr>
        <w:pStyle w:val="Heading3"/>
      </w:pPr>
      <w:bookmarkStart w:id="333" w:name="_Toc466903400"/>
      <w:bookmarkStart w:id="334" w:name="_Toc466909065"/>
      <w:bookmarkStart w:id="335" w:name="_Toc466986181"/>
      <w:bookmarkStart w:id="336" w:name="_Toc466986234"/>
      <w:bookmarkStart w:id="337" w:name="_Toc467052900"/>
      <w:bookmarkStart w:id="338" w:name="_Toc467064052"/>
      <w:bookmarkStart w:id="339" w:name="_Toc467064499"/>
      <w:bookmarkStart w:id="340" w:name="_Toc467077506"/>
      <w:bookmarkStart w:id="341" w:name="_Toc477274232"/>
      <w:r>
        <w:lastRenderedPageBreak/>
        <w:t>5.3.4</w:t>
      </w:r>
      <w:r w:rsidR="0051780C">
        <w:tab/>
      </w:r>
      <w:r w:rsidR="0051780C" w:rsidRPr="00552334">
        <w:t>Calculation of dietary exposure estimates</w:t>
      </w:r>
      <w:bookmarkEnd w:id="333"/>
      <w:bookmarkEnd w:id="334"/>
      <w:bookmarkEnd w:id="335"/>
      <w:bookmarkEnd w:id="336"/>
      <w:bookmarkEnd w:id="337"/>
      <w:bookmarkEnd w:id="338"/>
      <w:bookmarkEnd w:id="339"/>
      <w:bookmarkEnd w:id="340"/>
      <w:bookmarkEnd w:id="341"/>
      <w:r w:rsidR="0051780C" w:rsidRPr="00552334">
        <w:t xml:space="preserve"> </w:t>
      </w:r>
    </w:p>
    <w:p w14:paraId="3072C921" w14:textId="50837CAE" w:rsidR="0051780C" w:rsidRPr="00F935CA" w:rsidRDefault="000E6116" w:rsidP="0051780C">
      <w:pPr>
        <w:pStyle w:val="Heading4"/>
      </w:pPr>
      <w:r>
        <w:t>5.3.4.1</w:t>
      </w:r>
      <w:r w:rsidR="0051780C">
        <w:tab/>
      </w:r>
      <w:r w:rsidR="0051780C" w:rsidRPr="00F935CA">
        <w:t xml:space="preserve">Baseline dietary exposure </w:t>
      </w:r>
    </w:p>
    <w:p w14:paraId="3E9AB421" w14:textId="0CEB95D7" w:rsidR="0051780C" w:rsidRDefault="0051780C" w:rsidP="0051780C">
      <w:pPr>
        <w:rPr>
          <w:bCs/>
          <w:lang w:val="en-GB"/>
        </w:rPr>
      </w:pPr>
      <w:r w:rsidRPr="00962376">
        <w:rPr>
          <w:lang w:val="en-GB"/>
        </w:rPr>
        <w:t xml:space="preserve">Plant sterol exposure estimates were derived using </w:t>
      </w:r>
      <w:r w:rsidRPr="00962376">
        <w:rPr>
          <w:bCs/>
          <w:lang w:val="en-GB"/>
        </w:rPr>
        <w:t>Harvest</w:t>
      </w:r>
      <w:r w:rsidR="00967039">
        <w:rPr>
          <w:bCs/>
          <w:lang w:val="en-GB"/>
        </w:rPr>
        <w:t>,</w:t>
      </w:r>
      <w:r w:rsidRPr="00962376">
        <w:rPr>
          <w:bCs/>
          <w:lang w:val="en-GB"/>
        </w:rPr>
        <w:t xml:space="preserve"> </w:t>
      </w:r>
      <w:r w:rsidRPr="00962376">
        <w:rPr>
          <w:lang w:val="en-GB"/>
        </w:rPr>
        <w:t>FSANZ's custom</w:t>
      </w:r>
      <w:r>
        <w:rPr>
          <w:lang w:val="en-GB"/>
        </w:rPr>
        <w:t>-</w:t>
      </w:r>
      <w:r w:rsidRPr="00962376">
        <w:rPr>
          <w:lang w:val="en-GB"/>
        </w:rPr>
        <w:t>built die</w:t>
      </w:r>
      <w:r w:rsidRPr="00962376">
        <w:rPr>
          <w:bCs/>
          <w:lang w:val="en-GB"/>
        </w:rPr>
        <w:t>tary modelling computer program</w:t>
      </w:r>
      <w:r w:rsidRPr="00962376">
        <w:rPr>
          <w:lang w:val="en-GB"/>
        </w:rPr>
        <w:t xml:space="preserve">. Results were derived using the first 24-hour recall consumption data only from all three surveys. </w:t>
      </w:r>
      <w:r w:rsidRPr="00962376">
        <w:rPr>
          <w:bCs/>
          <w:lang w:val="en-GB"/>
        </w:rPr>
        <w:t xml:space="preserve">All results were weighted to make them representative of the respective populations. </w:t>
      </w:r>
      <w:r w:rsidRPr="00962376">
        <w:rPr>
          <w:lang w:val="en-GB"/>
        </w:rPr>
        <w:t xml:space="preserve">The two day average exposure was also derived based on consumption data from the 2011–12 NNPAS for the 64% of respondents with two days of data (applying a different set of sample weights to make this survey sub-sample representative of the population). The two day average exposures better reflect longer term estimates of dietary exposure and therefore are a better estimate of chronic dietary exposure. The two day average for the New Zealand surveys was not derived due to low numbers of respondents for Day 2 of the surveys. The proportions of consumers of plant sterols, the mean and P90 plant sterol exposures were calculated for consumers of the foods listed </w:t>
      </w:r>
      <w:r w:rsidRPr="00962376">
        <w:rPr>
          <w:bCs/>
          <w:lang w:val="en-GB"/>
        </w:rPr>
        <w:t>in Table 1.</w:t>
      </w:r>
    </w:p>
    <w:p w14:paraId="0D29DE84" w14:textId="6D020282" w:rsidR="009122F9" w:rsidRDefault="009122F9" w:rsidP="0051780C">
      <w:pPr>
        <w:rPr>
          <w:bCs/>
          <w:lang w:val="en-GB"/>
        </w:rPr>
      </w:pPr>
    </w:p>
    <w:p w14:paraId="4E0D3DA0" w14:textId="101D9182" w:rsidR="009122F9" w:rsidRPr="00962376" w:rsidRDefault="009122F9" w:rsidP="0051780C">
      <w:pPr>
        <w:rPr>
          <w:bCs/>
          <w:lang w:val="en-GB"/>
        </w:rPr>
      </w:pPr>
      <w:r w:rsidRPr="00552334">
        <w:rPr>
          <w:lang w:val="en-GB"/>
        </w:rPr>
        <w:t>In all populations groups assessed, breakfast cereals or yoghurts with added plant sterols were not consumed in any of the surveys p</w:t>
      </w:r>
      <w:r w:rsidRPr="00E10D8F">
        <w:rPr>
          <w:lang w:val="en-GB"/>
        </w:rPr>
        <w:t>resumably because these products were not available on the market (Figure 2 and Tables A5 and A6 in Appendix 3)</w:t>
      </w:r>
      <w:r w:rsidR="00AD2903">
        <w:rPr>
          <w:lang w:val="en-GB"/>
        </w:rPr>
        <w:t>.</w:t>
      </w:r>
    </w:p>
    <w:p w14:paraId="4FFD3838" w14:textId="5E1884DC" w:rsidR="0051780C" w:rsidRPr="00E10D8F" w:rsidRDefault="0051780C" w:rsidP="0051780C">
      <w:pPr>
        <w:pStyle w:val="Heading4"/>
      </w:pPr>
      <w:r w:rsidRPr="00552334">
        <w:t>5.3.4.2</w:t>
      </w:r>
      <w:r>
        <w:tab/>
      </w:r>
      <w:r w:rsidRPr="00552334">
        <w:t>Estimation of dietary exposure (per portion approach)</w:t>
      </w:r>
    </w:p>
    <w:p w14:paraId="40629B34" w14:textId="660B0C83" w:rsidR="0051780C" w:rsidRPr="00962376" w:rsidRDefault="004707B3" w:rsidP="0051780C">
      <w:pPr>
        <w:rPr>
          <w:bCs/>
          <w:lang w:val="en-GB"/>
        </w:rPr>
      </w:pPr>
      <w:r>
        <w:rPr>
          <w:bCs/>
          <w:lang w:val="en-GB"/>
        </w:rPr>
        <w:t>In this first approach, d</w:t>
      </w:r>
      <w:r w:rsidR="0051780C" w:rsidRPr="00962376">
        <w:rPr>
          <w:bCs/>
          <w:lang w:val="en-GB"/>
        </w:rPr>
        <w:t xml:space="preserve">ietary exposure estimates were based on a proposed maximum permitted amount of 2.2 g of plant sterol equivalents per serving of breakfast cereal. Plant sterol dietary exposures estimated from the nutrition surveys (i.e. baseline dietary exposure) were added to this amount to derive an estimated maximum total dietary exposure per day. This exposure estimate assumed that persons would consume one serving of breakfast cereal per day in addition to other foods containing plant sterols. </w:t>
      </w:r>
    </w:p>
    <w:p w14:paraId="21E8F215" w14:textId="1B354AB2" w:rsidR="0051780C" w:rsidRPr="00552334" w:rsidRDefault="000E6116" w:rsidP="0051780C">
      <w:pPr>
        <w:pStyle w:val="Heading4"/>
      </w:pPr>
      <w:r>
        <w:t>5.3.4.3</w:t>
      </w:r>
      <w:r w:rsidR="0051780C">
        <w:tab/>
      </w:r>
      <w:r w:rsidR="0051780C" w:rsidRPr="00552334">
        <w:t xml:space="preserve">Estimation of total dietary exposure for all breakfast cereals (scenario modelling approach) </w:t>
      </w:r>
    </w:p>
    <w:p w14:paraId="009BE174" w14:textId="721EF0E7" w:rsidR="0051780C" w:rsidRPr="00552334" w:rsidRDefault="00015CD3" w:rsidP="0051780C">
      <w:pPr>
        <w:rPr>
          <w:lang w:val="en-GB" w:bidi="ar-SA"/>
        </w:rPr>
      </w:pPr>
      <w:r>
        <w:rPr>
          <w:lang w:val="en-GB"/>
        </w:rPr>
        <w:t>In the second approach</w:t>
      </w:r>
      <w:r w:rsidR="00855FDD">
        <w:rPr>
          <w:lang w:val="en-GB"/>
        </w:rPr>
        <w:t>,</w:t>
      </w:r>
      <w:r>
        <w:rPr>
          <w:lang w:val="en-GB"/>
        </w:rPr>
        <w:t xml:space="preserve"> s</w:t>
      </w:r>
      <w:r w:rsidR="0051780C" w:rsidRPr="00962376">
        <w:rPr>
          <w:lang w:val="en-GB"/>
        </w:rPr>
        <w:t xml:space="preserve">cenario modelling </w:t>
      </w:r>
      <w:r>
        <w:rPr>
          <w:lang w:val="en-GB"/>
        </w:rPr>
        <w:t xml:space="preserve">was </w:t>
      </w:r>
      <w:r w:rsidR="0051780C" w:rsidRPr="00962376">
        <w:rPr>
          <w:lang w:val="en-GB"/>
        </w:rPr>
        <w:t>use</w:t>
      </w:r>
      <w:r>
        <w:rPr>
          <w:lang w:val="en-GB"/>
        </w:rPr>
        <w:t xml:space="preserve">d to </w:t>
      </w:r>
      <w:r w:rsidR="0051780C" w:rsidRPr="00962376">
        <w:rPr>
          <w:lang w:val="en-GB"/>
        </w:rPr>
        <w:t>calculate exposure from reported consumption of foods that contained added plant sterols (i.e. baseline exposure) plus reported consumption of breakfast cereals that met the sugar and fibre criteria (see Table 1) assum</w:t>
      </w:r>
      <w:r>
        <w:rPr>
          <w:lang w:val="en-GB"/>
        </w:rPr>
        <w:t>ing</w:t>
      </w:r>
      <w:r w:rsidR="0051780C" w:rsidRPr="00962376">
        <w:rPr>
          <w:lang w:val="en-GB"/>
        </w:rPr>
        <w:t xml:space="preserve"> that those breakfast cereals contained added plant sterols. </w:t>
      </w:r>
      <w:r w:rsidRPr="00962376">
        <w:rPr>
          <w:lang w:val="en-GB"/>
        </w:rPr>
        <w:t xml:space="preserve">The scenario model </w:t>
      </w:r>
      <w:r w:rsidR="0051780C" w:rsidRPr="00962376">
        <w:rPr>
          <w:lang w:val="en-GB"/>
        </w:rPr>
        <w:t xml:space="preserve">assumed that persons who reported consuming breakfast cereal in the survey would consume the same amount of cereal containing added plant sterols at the maximum concentration. To calculate exposure in Harvest by this approach, new codes were assigned to these foods </w:t>
      </w:r>
      <w:r>
        <w:rPr>
          <w:lang w:val="en-GB"/>
        </w:rPr>
        <w:t>and a</w:t>
      </w:r>
      <w:r w:rsidRPr="00962376">
        <w:rPr>
          <w:lang w:val="en-GB"/>
        </w:rPr>
        <w:t xml:space="preserve"> semi-probabilistic</w:t>
      </w:r>
      <w:r w:rsidRPr="00962376">
        <w:rPr>
          <w:rStyle w:val="FootnoteReference"/>
          <w:lang w:val="en-GB"/>
        </w:rPr>
        <w:footnoteReference w:id="4"/>
      </w:r>
      <w:r w:rsidRPr="00962376">
        <w:rPr>
          <w:lang w:val="en-GB"/>
        </w:rPr>
        <w:t xml:space="preserve"> calculation </w:t>
      </w:r>
      <w:r>
        <w:rPr>
          <w:lang w:val="en-GB"/>
        </w:rPr>
        <w:t>undertaken</w:t>
      </w:r>
      <w:r w:rsidRPr="00962376">
        <w:rPr>
          <w:lang w:val="en-GB"/>
        </w:rPr>
        <w:t xml:space="preserve">. </w:t>
      </w:r>
      <w:r w:rsidR="0051780C" w:rsidRPr="00962376">
        <w:rPr>
          <w:lang w:val="en-GB"/>
        </w:rPr>
        <w:t>(see Appendix 2).</w:t>
      </w:r>
    </w:p>
    <w:p w14:paraId="7724E01A" w14:textId="77777777" w:rsidR="0051780C" w:rsidRPr="00552334" w:rsidRDefault="0051780C" w:rsidP="0051780C">
      <w:pPr>
        <w:rPr>
          <w:lang w:val="en-GB" w:bidi="ar-SA"/>
        </w:rPr>
      </w:pPr>
    </w:p>
    <w:p w14:paraId="5CB631CB" w14:textId="77777777" w:rsidR="0051780C" w:rsidRPr="00552334" w:rsidRDefault="0051780C" w:rsidP="0051780C">
      <w:pPr>
        <w:rPr>
          <w:lang w:val="en-GB" w:bidi="ar-SA"/>
        </w:rPr>
      </w:pPr>
      <w:r w:rsidRPr="00552334">
        <w:rPr>
          <w:lang w:val="en-GB" w:bidi="ar-SA"/>
        </w:rPr>
        <w:t xml:space="preserve">Two day average exposures were calculated in the scenario as an </w:t>
      </w:r>
      <w:r w:rsidRPr="00962376">
        <w:rPr>
          <w:lang w:val="en-GB" w:bidi="ar-SA"/>
        </w:rPr>
        <w:t xml:space="preserve">estimate of chronic dietary exposure. As with the baseline exposure estimate, two day average for the New Zealand surveys was not derived due to low numbers of Day 2 respondents in the surveys. </w:t>
      </w:r>
    </w:p>
    <w:p w14:paraId="54A110C9" w14:textId="77777777" w:rsidR="0051780C" w:rsidRPr="00552334" w:rsidRDefault="0051780C" w:rsidP="0051780C">
      <w:pPr>
        <w:rPr>
          <w:lang w:val="en-GB" w:bidi="ar-SA"/>
        </w:rPr>
      </w:pPr>
    </w:p>
    <w:p w14:paraId="7E8670A5" w14:textId="77777777" w:rsidR="00724D8F" w:rsidRDefault="00724D8F" w:rsidP="0051780C">
      <w:pPr>
        <w:rPr>
          <w:lang w:val="en-GB" w:bidi="ar-SA"/>
        </w:rPr>
      </w:pPr>
      <w:r>
        <w:rPr>
          <w:lang w:val="en-GB" w:bidi="ar-SA"/>
        </w:rPr>
        <w:br w:type="page"/>
      </w:r>
    </w:p>
    <w:p w14:paraId="420DD945" w14:textId="4197FB09" w:rsidR="0051780C" w:rsidRPr="00552334" w:rsidRDefault="0051780C" w:rsidP="0051780C">
      <w:pPr>
        <w:rPr>
          <w:lang w:val="en-GB" w:bidi="ar-SA"/>
        </w:rPr>
      </w:pPr>
      <w:r w:rsidRPr="00552334">
        <w:rPr>
          <w:lang w:val="en-GB" w:bidi="ar-SA"/>
        </w:rPr>
        <w:lastRenderedPageBreak/>
        <w:t>The proposed maximum amount of 2.2 g/serve</w:t>
      </w:r>
      <w:r w:rsidRPr="00E10D8F">
        <w:rPr>
          <w:lang w:val="en-GB" w:bidi="ar-SA"/>
        </w:rPr>
        <w:t xml:space="preserve"> was used as the plant sterol concentration </w:t>
      </w:r>
      <w:r w:rsidRPr="00552334">
        <w:rPr>
          <w:lang w:val="en-GB" w:bidi="ar-SA"/>
        </w:rPr>
        <w:t xml:space="preserve">for breakfast cereals in the scenario, with the </w:t>
      </w:r>
      <w:r w:rsidR="005F6B4F">
        <w:rPr>
          <w:lang w:val="en-GB" w:bidi="ar-SA"/>
        </w:rPr>
        <w:t>serving</w:t>
      </w:r>
      <w:r w:rsidRPr="00552334">
        <w:rPr>
          <w:lang w:val="en-GB" w:bidi="ar-SA"/>
        </w:rPr>
        <w:t xml:space="preserve"> size assumed to be 30 g of cereal giving a concentration of 73 g/kg cereal (se</w:t>
      </w:r>
      <w:r w:rsidR="009524FC">
        <w:rPr>
          <w:lang w:val="en-GB" w:bidi="ar-SA"/>
        </w:rPr>
        <w:t>e s</w:t>
      </w:r>
      <w:r w:rsidRPr="00552334">
        <w:rPr>
          <w:lang w:val="en-GB" w:bidi="ar-SA"/>
        </w:rPr>
        <w:t xml:space="preserve">ection 5.3.1). Because consumption amounts of oats and porridge were reported in the NNPAS as either uncooked or cooked amounts, the proposed amount of plant sterols to be added per kg of cereal was adjusted for exposure calculations taking hydration factors into account (Table 3). </w:t>
      </w:r>
    </w:p>
    <w:p w14:paraId="2854F546" w14:textId="77777777" w:rsidR="0051780C" w:rsidRPr="00552334" w:rsidRDefault="0051780C" w:rsidP="0051780C">
      <w:pPr>
        <w:rPr>
          <w:lang w:val="en-GB" w:bidi="ar-SA"/>
        </w:rPr>
      </w:pPr>
    </w:p>
    <w:p w14:paraId="5E5243A9" w14:textId="12221BFD" w:rsidR="0051780C" w:rsidRPr="00962376" w:rsidRDefault="0051780C" w:rsidP="0051780C">
      <w:pPr>
        <w:pStyle w:val="FSTableTitle"/>
        <w:rPr>
          <w:lang w:val="en-GB"/>
        </w:rPr>
      </w:pPr>
      <w:r w:rsidRPr="00962376">
        <w:rPr>
          <w:lang w:val="en-GB"/>
        </w:rPr>
        <w:t>Table 3: Plant sterol concentrations used in the scenario model to estimate dietary plant sterol exposure from breakfast cereals with added plant sterols</w:t>
      </w:r>
    </w:p>
    <w:p w14:paraId="14FAA44E" w14:textId="77777777" w:rsidR="0051780C" w:rsidRPr="00552334" w:rsidRDefault="0051780C" w:rsidP="0051780C">
      <w:pPr>
        <w:rPr>
          <w:lang w:val="en-GB"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lant sterol concentrations used in the scenario model"/>
        <w:tblDescription w:val="This table shows the plant sterol concentrations used in the scenario model to estimate dietary plant sterol exposure from breakfast cereals with added plant sterols"/>
      </w:tblPr>
      <w:tblGrid>
        <w:gridCol w:w="4219"/>
        <w:gridCol w:w="1559"/>
        <w:gridCol w:w="1560"/>
        <w:gridCol w:w="1948"/>
      </w:tblGrid>
      <w:tr w:rsidR="0051780C" w:rsidRPr="00552334" w14:paraId="236DCCFD" w14:textId="77777777" w:rsidTr="00A573C4">
        <w:trPr>
          <w:trHeight w:val="737"/>
          <w:tblHeader/>
        </w:trPr>
        <w:tc>
          <w:tcPr>
            <w:tcW w:w="4219" w:type="dxa"/>
            <w:tcBorders>
              <w:top w:val="single" w:sz="4" w:space="0" w:color="auto"/>
              <w:bottom w:val="single" w:sz="4" w:space="0" w:color="auto"/>
            </w:tcBorders>
            <w:vAlign w:val="center"/>
          </w:tcPr>
          <w:p w14:paraId="6E7E0C1D" w14:textId="77777777" w:rsidR="0051780C" w:rsidRPr="00552334" w:rsidRDefault="0051780C" w:rsidP="00A573C4">
            <w:pPr>
              <w:pStyle w:val="FSTableText"/>
              <w:rPr>
                <w:b/>
                <w:lang w:val="en-GB" w:bidi="ar-SA"/>
              </w:rPr>
            </w:pPr>
            <w:r w:rsidRPr="00552334">
              <w:rPr>
                <w:b/>
                <w:lang w:val="en-GB" w:bidi="ar-SA"/>
              </w:rPr>
              <w:t>Cereal Types</w:t>
            </w:r>
          </w:p>
          <w:p w14:paraId="74A3B52F" w14:textId="77777777" w:rsidR="0051780C" w:rsidRPr="00552334" w:rsidRDefault="0051780C" w:rsidP="00A573C4">
            <w:pPr>
              <w:pStyle w:val="FSTableText"/>
              <w:rPr>
                <w:b/>
                <w:lang w:val="en-GB" w:bidi="ar-SA"/>
              </w:rPr>
            </w:pPr>
            <w:r w:rsidRPr="00552334">
              <w:rPr>
                <w:b/>
                <w:lang w:val="en-GB" w:bidi="ar-SA"/>
              </w:rPr>
              <w:t>(as reported in NNPAS)</w:t>
            </w:r>
          </w:p>
        </w:tc>
        <w:tc>
          <w:tcPr>
            <w:tcW w:w="1559" w:type="dxa"/>
            <w:tcBorders>
              <w:top w:val="single" w:sz="4" w:space="0" w:color="auto"/>
              <w:bottom w:val="single" w:sz="4" w:space="0" w:color="auto"/>
            </w:tcBorders>
            <w:vAlign w:val="center"/>
          </w:tcPr>
          <w:p w14:paraId="476AC7A1" w14:textId="77777777" w:rsidR="0051780C" w:rsidRPr="00552334" w:rsidRDefault="0051780C" w:rsidP="00A573C4">
            <w:pPr>
              <w:pStyle w:val="FSTableText"/>
              <w:jc w:val="center"/>
              <w:rPr>
                <w:b/>
                <w:lang w:val="en-GB" w:bidi="ar-SA"/>
              </w:rPr>
            </w:pPr>
            <w:r w:rsidRPr="00552334">
              <w:rPr>
                <w:b/>
                <w:lang w:val="en-GB" w:bidi="ar-SA"/>
              </w:rPr>
              <w:t xml:space="preserve">Proposed maximum amount </w:t>
            </w:r>
          </w:p>
        </w:tc>
        <w:tc>
          <w:tcPr>
            <w:tcW w:w="1560" w:type="dxa"/>
            <w:tcBorders>
              <w:top w:val="single" w:sz="4" w:space="0" w:color="auto"/>
              <w:bottom w:val="single" w:sz="4" w:space="0" w:color="auto"/>
            </w:tcBorders>
            <w:vAlign w:val="center"/>
          </w:tcPr>
          <w:p w14:paraId="6679598E" w14:textId="485267DF" w:rsidR="0051780C" w:rsidRPr="00552334" w:rsidRDefault="0051780C" w:rsidP="00A573C4">
            <w:pPr>
              <w:pStyle w:val="FSTableText"/>
              <w:jc w:val="center"/>
              <w:rPr>
                <w:b/>
                <w:lang w:val="en-GB" w:bidi="ar-SA"/>
              </w:rPr>
            </w:pPr>
            <w:r w:rsidRPr="00552334">
              <w:rPr>
                <w:b/>
                <w:lang w:val="en-GB" w:bidi="ar-SA"/>
              </w:rPr>
              <w:t>Assumed weight</w:t>
            </w:r>
          </w:p>
        </w:tc>
        <w:tc>
          <w:tcPr>
            <w:tcW w:w="1948" w:type="dxa"/>
            <w:tcBorders>
              <w:top w:val="single" w:sz="4" w:space="0" w:color="auto"/>
              <w:bottom w:val="single" w:sz="4" w:space="0" w:color="auto"/>
            </w:tcBorders>
            <w:vAlign w:val="center"/>
          </w:tcPr>
          <w:p w14:paraId="586D9645" w14:textId="77777777" w:rsidR="0051780C" w:rsidRPr="00552334" w:rsidRDefault="0051780C" w:rsidP="00A573C4">
            <w:pPr>
              <w:pStyle w:val="FSTableText"/>
              <w:jc w:val="center"/>
              <w:rPr>
                <w:b/>
                <w:lang w:val="en-GB" w:bidi="ar-SA"/>
              </w:rPr>
            </w:pPr>
            <w:r w:rsidRPr="00552334">
              <w:rPr>
                <w:b/>
                <w:lang w:val="en-GB" w:bidi="ar-SA"/>
              </w:rPr>
              <w:t>Concentration used in scenario</w:t>
            </w:r>
          </w:p>
          <w:p w14:paraId="7F2AAE4D" w14:textId="77777777" w:rsidR="0051780C" w:rsidRPr="00552334" w:rsidRDefault="0051780C" w:rsidP="00A573C4">
            <w:pPr>
              <w:pStyle w:val="FSTableText"/>
              <w:jc w:val="center"/>
              <w:rPr>
                <w:b/>
                <w:lang w:val="en-GB" w:bidi="ar-SA"/>
              </w:rPr>
            </w:pPr>
            <w:r w:rsidRPr="00552334">
              <w:rPr>
                <w:b/>
                <w:lang w:val="en-GB" w:bidi="ar-SA"/>
              </w:rPr>
              <w:t>(g/kg)</w:t>
            </w:r>
          </w:p>
        </w:tc>
      </w:tr>
      <w:tr w:rsidR="0051780C" w:rsidRPr="00552334" w14:paraId="2AFC9BAB" w14:textId="77777777" w:rsidTr="00A573C4">
        <w:trPr>
          <w:trHeight w:val="510"/>
        </w:trPr>
        <w:tc>
          <w:tcPr>
            <w:tcW w:w="4219" w:type="dxa"/>
            <w:tcBorders>
              <w:top w:val="single" w:sz="4" w:space="0" w:color="auto"/>
            </w:tcBorders>
            <w:vAlign w:val="center"/>
          </w:tcPr>
          <w:p w14:paraId="465DD9E8" w14:textId="77777777" w:rsidR="0051780C" w:rsidRPr="00552334" w:rsidRDefault="0051780C" w:rsidP="00A573C4">
            <w:pPr>
              <w:pStyle w:val="FSTableText"/>
              <w:rPr>
                <w:lang w:val="en-GB" w:bidi="ar-SA"/>
              </w:rPr>
            </w:pPr>
            <w:r w:rsidRPr="00552334">
              <w:rPr>
                <w:lang w:val="en-GB" w:bidi="ar-SA"/>
              </w:rPr>
              <w:t>All breakfast cereal meeting sugar and fibre criteria</w:t>
            </w:r>
            <w:r w:rsidRPr="00552334">
              <w:rPr>
                <w:vertAlign w:val="superscript"/>
                <w:lang w:val="en-GB" w:bidi="ar-SA"/>
              </w:rPr>
              <w:t>1</w:t>
            </w:r>
            <w:r w:rsidRPr="00552334">
              <w:rPr>
                <w:lang w:val="en-GB" w:bidi="ar-SA"/>
              </w:rPr>
              <w:t xml:space="preserve"> including muesli and flaked biscuits</w:t>
            </w:r>
          </w:p>
        </w:tc>
        <w:tc>
          <w:tcPr>
            <w:tcW w:w="1559" w:type="dxa"/>
            <w:vMerge w:val="restart"/>
            <w:tcBorders>
              <w:top w:val="single" w:sz="4" w:space="0" w:color="auto"/>
            </w:tcBorders>
            <w:vAlign w:val="center"/>
          </w:tcPr>
          <w:p w14:paraId="197D6483" w14:textId="77777777" w:rsidR="0051780C" w:rsidRPr="00552334" w:rsidRDefault="0051780C" w:rsidP="00A573C4">
            <w:pPr>
              <w:pStyle w:val="FSTableText"/>
              <w:jc w:val="center"/>
              <w:rPr>
                <w:lang w:val="en-GB" w:bidi="ar-SA"/>
              </w:rPr>
            </w:pPr>
            <w:r w:rsidRPr="00552334">
              <w:rPr>
                <w:lang w:val="en-GB" w:bidi="ar-SA"/>
              </w:rPr>
              <w:t>2.2 g/serve</w:t>
            </w:r>
          </w:p>
        </w:tc>
        <w:tc>
          <w:tcPr>
            <w:tcW w:w="1560" w:type="dxa"/>
            <w:tcBorders>
              <w:top w:val="single" w:sz="4" w:space="0" w:color="auto"/>
            </w:tcBorders>
            <w:vAlign w:val="center"/>
          </w:tcPr>
          <w:p w14:paraId="7A85B726" w14:textId="40EE24CF" w:rsidR="0051780C" w:rsidRPr="00552334" w:rsidRDefault="0051780C" w:rsidP="00A573C4">
            <w:pPr>
              <w:pStyle w:val="FSTableText"/>
              <w:jc w:val="center"/>
              <w:rPr>
                <w:lang w:val="en-GB" w:bidi="ar-SA"/>
              </w:rPr>
            </w:pPr>
            <w:r w:rsidRPr="00E10D8F">
              <w:rPr>
                <w:lang w:val="en-GB" w:bidi="ar-SA"/>
              </w:rPr>
              <w:t>30 g</w:t>
            </w:r>
            <w:r w:rsidR="0040536E">
              <w:rPr>
                <w:lang w:val="en-GB" w:bidi="ar-SA"/>
              </w:rPr>
              <w:t xml:space="preserve"> </w:t>
            </w:r>
            <w:r w:rsidR="005F6B4F">
              <w:rPr>
                <w:lang w:val="en-GB" w:bidi="ar-SA"/>
              </w:rPr>
              <w:t>serve</w:t>
            </w:r>
          </w:p>
        </w:tc>
        <w:tc>
          <w:tcPr>
            <w:tcW w:w="1948" w:type="dxa"/>
            <w:tcBorders>
              <w:top w:val="single" w:sz="4" w:space="0" w:color="auto"/>
            </w:tcBorders>
            <w:vAlign w:val="center"/>
          </w:tcPr>
          <w:p w14:paraId="76D02A88" w14:textId="77777777" w:rsidR="0051780C" w:rsidRPr="00552334" w:rsidRDefault="0051780C" w:rsidP="00A573C4">
            <w:pPr>
              <w:pStyle w:val="FSTableText"/>
              <w:jc w:val="center"/>
              <w:rPr>
                <w:lang w:val="en-GB" w:bidi="ar-SA"/>
              </w:rPr>
            </w:pPr>
            <w:r w:rsidRPr="00552334">
              <w:rPr>
                <w:lang w:val="en-GB" w:bidi="ar-SA"/>
              </w:rPr>
              <w:t>73</w:t>
            </w:r>
          </w:p>
        </w:tc>
      </w:tr>
      <w:tr w:rsidR="0051780C" w:rsidRPr="00552334" w14:paraId="0DB71FB7" w14:textId="77777777" w:rsidTr="00A573C4">
        <w:trPr>
          <w:trHeight w:val="510"/>
        </w:trPr>
        <w:tc>
          <w:tcPr>
            <w:tcW w:w="4219" w:type="dxa"/>
            <w:vAlign w:val="center"/>
          </w:tcPr>
          <w:p w14:paraId="37ECB721" w14:textId="65E2AB68" w:rsidR="0051780C" w:rsidRPr="00552334" w:rsidRDefault="0051780C" w:rsidP="00BC1BB0">
            <w:pPr>
              <w:pStyle w:val="FSTableText"/>
              <w:rPr>
                <w:lang w:val="en-GB" w:bidi="ar-SA"/>
              </w:rPr>
            </w:pPr>
            <w:r w:rsidRPr="00552334">
              <w:rPr>
                <w:lang w:val="en-GB" w:bidi="ar-SA"/>
              </w:rPr>
              <w:t>Oats and porridge “uncooked”</w:t>
            </w:r>
          </w:p>
        </w:tc>
        <w:tc>
          <w:tcPr>
            <w:tcW w:w="1559" w:type="dxa"/>
            <w:vMerge/>
            <w:vAlign w:val="center"/>
          </w:tcPr>
          <w:p w14:paraId="0F3A35D2" w14:textId="77777777" w:rsidR="0051780C" w:rsidRPr="00552334" w:rsidRDefault="0051780C" w:rsidP="00A573C4">
            <w:pPr>
              <w:pStyle w:val="FSTableText"/>
              <w:jc w:val="center"/>
              <w:rPr>
                <w:lang w:val="en-GB" w:bidi="ar-SA"/>
              </w:rPr>
            </w:pPr>
          </w:p>
        </w:tc>
        <w:tc>
          <w:tcPr>
            <w:tcW w:w="1560" w:type="dxa"/>
            <w:vAlign w:val="center"/>
          </w:tcPr>
          <w:p w14:paraId="472F820B" w14:textId="0E3D1F13" w:rsidR="0051780C" w:rsidRPr="00552334" w:rsidRDefault="0051780C" w:rsidP="005F6B4F">
            <w:pPr>
              <w:pStyle w:val="FSTableText"/>
              <w:jc w:val="center"/>
              <w:rPr>
                <w:lang w:val="en-GB" w:bidi="ar-SA"/>
              </w:rPr>
            </w:pPr>
            <w:r w:rsidRPr="00552334">
              <w:rPr>
                <w:lang w:val="en-GB" w:bidi="ar-SA"/>
              </w:rPr>
              <w:t>40 g</w:t>
            </w:r>
            <w:r w:rsidR="0040536E">
              <w:rPr>
                <w:lang w:val="en-GB" w:bidi="ar-SA"/>
              </w:rPr>
              <w:t xml:space="preserve"> </w:t>
            </w:r>
            <w:r w:rsidR="005F6B4F">
              <w:rPr>
                <w:lang w:val="en-GB" w:bidi="ar-SA"/>
              </w:rPr>
              <w:t>serve</w:t>
            </w:r>
            <w:r w:rsidRPr="00552334">
              <w:rPr>
                <w:vertAlign w:val="superscript"/>
                <w:lang w:val="en-GB" w:bidi="ar-SA"/>
              </w:rPr>
              <w:t>2</w:t>
            </w:r>
          </w:p>
        </w:tc>
        <w:tc>
          <w:tcPr>
            <w:tcW w:w="1948" w:type="dxa"/>
            <w:vAlign w:val="center"/>
          </w:tcPr>
          <w:p w14:paraId="049CC826" w14:textId="77777777" w:rsidR="0051780C" w:rsidRPr="00552334" w:rsidRDefault="0051780C" w:rsidP="00A573C4">
            <w:pPr>
              <w:pStyle w:val="FSTableText"/>
              <w:jc w:val="center"/>
              <w:rPr>
                <w:lang w:val="en-GB" w:bidi="ar-SA"/>
              </w:rPr>
            </w:pPr>
            <w:r w:rsidRPr="00552334">
              <w:rPr>
                <w:lang w:val="en-GB" w:bidi="ar-SA"/>
              </w:rPr>
              <w:t>55</w:t>
            </w:r>
          </w:p>
        </w:tc>
      </w:tr>
      <w:tr w:rsidR="0051780C" w:rsidRPr="00552334" w14:paraId="5EC86BA5" w14:textId="77777777" w:rsidTr="00A573C4">
        <w:trPr>
          <w:trHeight w:val="510"/>
        </w:trPr>
        <w:tc>
          <w:tcPr>
            <w:tcW w:w="4219" w:type="dxa"/>
            <w:tcBorders>
              <w:bottom w:val="single" w:sz="4" w:space="0" w:color="auto"/>
            </w:tcBorders>
            <w:vAlign w:val="center"/>
          </w:tcPr>
          <w:p w14:paraId="45487504" w14:textId="77777777" w:rsidR="0051780C" w:rsidRPr="00552334" w:rsidRDefault="0051780C" w:rsidP="00A573C4">
            <w:pPr>
              <w:pStyle w:val="FSTableText"/>
              <w:rPr>
                <w:lang w:val="en-GB" w:bidi="ar-SA"/>
              </w:rPr>
            </w:pPr>
            <w:r w:rsidRPr="00552334">
              <w:rPr>
                <w:lang w:val="en-GB" w:bidi="ar-SA"/>
              </w:rPr>
              <w:t>Oats and porridge “as prepared” or “cooked”</w:t>
            </w:r>
          </w:p>
        </w:tc>
        <w:tc>
          <w:tcPr>
            <w:tcW w:w="1559" w:type="dxa"/>
            <w:vMerge/>
            <w:tcBorders>
              <w:bottom w:val="single" w:sz="4" w:space="0" w:color="auto"/>
            </w:tcBorders>
            <w:vAlign w:val="center"/>
          </w:tcPr>
          <w:p w14:paraId="07BDE383" w14:textId="77777777" w:rsidR="0051780C" w:rsidRPr="00552334" w:rsidRDefault="0051780C" w:rsidP="00A573C4">
            <w:pPr>
              <w:pStyle w:val="FSTableText"/>
              <w:jc w:val="center"/>
              <w:rPr>
                <w:lang w:val="en-GB" w:bidi="ar-SA"/>
              </w:rPr>
            </w:pPr>
          </w:p>
        </w:tc>
        <w:tc>
          <w:tcPr>
            <w:tcW w:w="1560" w:type="dxa"/>
            <w:tcBorders>
              <w:bottom w:val="single" w:sz="4" w:space="0" w:color="auto"/>
            </w:tcBorders>
            <w:vAlign w:val="center"/>
          </w:tcPr>
          <w:p w14:paraId="1ACDCFE4" w14:textId="57A1BF89" w:rsidR="0051780C" w:rsidRPr="00552334" w:rsidRDefault="0051780C" w:rsidP="005F6B4F">
            <w:pPr>
              <w:pStyle w:val="FSTableText"/>
              <w:jc w:val="center"/>
              <w:rPr>
                <w:lang w:val="en-GB" w:bidi="ar-SA"/>
              </w:rPr>
            </w:pPr>
            <w:r w:rsidRPr="00552334">
              <w:rPr>
                <w:lang w:val="en-GB" w:bidi="ar-SA"/>
              </w:rPr>
              <w:t>165 g</w:t>
            </w:r>
            <w:r w:rsidR="0040536E">
              <w:rPr>
                <w:lang w:val="en-GB" w:bidi="ar-SA"/>
              </w:rPr>
              <w:t xml:space="preserve"> </w:t>
            </w:r>
            <w:r w:rsidR="005F6B4F">
              <w:rPr>
                <w:lang w:val="en-GB" w:bidi="ar-SA"/>
              </w:rPr>
              <w:t>serve</w:t>
            </w:r>
            <w:r w:rsidRPr="00552334">
              <w:rPr>
                <w:vertAlign w:val="superscript"/>
                <w:lang w:val="en-GB" w:bidi="ar-SA"/>
              </w:rPr>
              <w:t>2</w:t>
            </w:r>
          </w:p>
        </w:tc>
        <w:tc>
          <w:tcPr>
            <w:tcW w:w="1948" w:type="dxa"/>
            <w:tcBorders>
              <w:bottom w:val="single" w:sz="4" w:space="0" w:color="auto"/>
            </w:tcBorders>
            <w:vAlign w:val="center"/>
          </w:tcPr>
          <w:p w14:paraId="64AD1340" w14:textId="77777777" w:rsidR="0051780C" w:rsidRPr="00552334" w:rsidRDefault="0051780C" w:rsidP="00A573C4">
            <w:pPr>
              <w:pStyle w:val="FSTableText"/>
              <w:jc w:val="center"/>
              <w:rPr>
                <w:lang w:val="en-GB" w:bidi="ar-SA"/>
              </w:rPr>
            </w:pPr>
            <w:r w:rsidRPr="00552334">
              <w:rPr>
                <w:lang w:val="en-GB" w:bidi="ar-SA"/>
              </w:rPr>
              <w:t>13.3</w:t>
            </w:r>
          </w:p>
        </w:tc>
      </w:tr>
    </w:tbl>
    <w:p w14:paraId="49D67A46" w14:textId="2D2B387E" w:rsidR="0051780C" w:rsidRPr="00552334" w:rsidRDefault="0051780C" w:rsidP="0051780C">
      <w:pPr>
        <w:rPr>
          <w:sz w:val="20"/>
          <w:lang w:val="en-GB"/>
        </w:rPr>
      </w:pPr>
      <w:r w:rsidRPr="00552334">
        <w:rPr>
          <w:vertAlign w:val="superscript"/>
          <w:lang w:val="en-GB" w:bidi="ar-SA"/>
        </w:rPr>
        <w:t>1</w:t>
      </w:r>
      <w:r w:rsidRPr="00552334">
        <w:rPr>
          <w:lang w:val="en-GB" w:bidi="ar-SA"/>
        </w:rPr>
        <w:t xml:space="preserve"> </w:t>
      </w:r>
      <w:r w:rsidRPr="00552334">
        <w:rPr>
          <w:sz w:val="20"/>
          <w:szCs w:val="20"/>
          <w:lang w:val="en-GB" w:bidi="ar-SA"/>
        </w:rPr>
        <w:t>As specified in Schedule 25 (see Table 1)</w:t>
      </w:r>
    </w:p>
    <w:p w14:paraId="40ABB0F9" w14:textId="3A6E29D6" w:rsidR="0051780C" w:rsidRPr="00552334" w:rsidRDefault="0051780C" w:rsidP="0051780C">
      <w:pPr>
        <w:rPr>
          <w:sz w:val="20"/>
          <w:szCs w:val="20"/>
          <w:lang w:val="en-GB" w:bidi="ar-SA"/>
        </w:rPr>
      </w:pPr>
      <w:r w:rsidRPr="00552334">
        <w:rPr>
          <w:sz w:val="20"/>
          <w:vertAlign w:val="superscript"/>
          <w:lang w:val="en-GB"/>
        </w:rPr>
        <w:t>2</w:t>
      </w:r>
      <w:r w:rsidRPr="00552334">
        <w:rPr>
          <w:sz w:val="20"/>
          <w:lang w:val="en-GB"/>
        </w:rPr>
        <w:t xml:space="preserve"> </w:t>
      </w:r>
      <w:r w:rsidRPr="00E10D8F">
        <w:rPr>
          <w:sz w:val="20"/>
          <w:szCs w:val="20"/>
          <w:lang w:val="en-GB" w:bidi="ar-SA"/>
        </w:rPr>
        <w:t xml:space="preserve">Based on </w:t>
      </w:r>
      <w:r w:rsidRPr="00552334">
        <w:rPr>
          <w:sz w:val="20"/>
          <w:szCs w:val="20"/>
          <w:lang w:val="en-GB" w:bidi="ar-SA"/>
        </w:rPr>
        <w:t xml:space="preserve">a label review of 15 oats and porridge-type cereals (including single sachets) currently on the market in Australia and New Zealand where average dry weight </w:t>
      </w:r>
      <w:r w:rsidR="0040536E">
        <w:rPr>
          <w:sz w:val="20"/>
          <w:szCs w:val="20"/>
          <w:lang w:val="en-GB" w:bidi="ar-SA"/>
        </w:rPr>
        <w:t>servings</w:t>
      </w:r>
      <w:r w:rsidR="0040536E" w:rsidRPr="00552334">
        <w:rPr>
          <w:sz w:val="20"/>
          <w:szCs w:val="20"/>
          <w:lang w:val="en-GB" w:bidi="ar-SA"/>
        </w:rPr>
        <w:t xml:space="preserve"> </w:t>
      </w:r>
      <w:r w:rsidRPr="00552334">
        <w:rPr>
          <w:sz w:val="20"/>
          <w:szCs w:val="20"/>
          <w:lang w:val="en-GB" w:bidi="ar-SA"/>
        </w:rPr>
        <w:t>were 40 g with 125 m</w:t>
      </w:r>
      <w:r w:rsidR="00724D8F">
        <w:rPr>
          <w:sz w:val="20"/>
          <w:szCs w:val="20"/>
          <w:lang w:val="en-GB" w:bidi="ar-SA"/>
        </w:rPr>
        <w:t>L</w:t>
      </w:r>
      <w:r w:rsidRPr="00552334">
        <w:rPr>
          <w:sz w:val="20"/>
          <w:szCs w:val="20"/>
          <w:lang w:val="en-GB" w:bidi="ar-SA"/>
        </w:rPr>
        <w:t xml:space="preserve"> of liquid added.</w:t>
      </w:r>
    </w:p>
    <w:p w14:paraId="15B10DC9" w14:textId="0E3B695B" w:rsidR="0051780C" w:rsidRPr="00F935CA" w:rsidRDefault="0051780C" w:rsidP="00B14D36">
      <w:pPr>
        <w:pStyle w:val="Heading2"/>
      </w:pPr>
      <w:bookmarkStart w:id="342" w:name="_Toc466903401"/>
      <w:bookmarkStart w:id="343" w:name="_Toc466909066"/>
      <w:bookmarkStart w:id="344" w:name="_Toc466986182"/>
      <w:bookmarkStart w:id="345" w:name="_Toc466986235"/>
      <w:bookmarkStart w:id="346" w:name="_Toc467064053"/>
      <w:bookmarkStart w:id="347" w:name="_Toc467064500"/>
      <w:bookmarkStart w:id="348" w:name="_Toc467077507"/>
      <w:bookmarkStart w:id="349" w:name="_Toc477274233"/>
      <w:r w:rsidRPr="00F935CA">
        <w:t>5.4</w:t>
      </w:r>
      <w:r w:rsidRPr="00F935CA">
        <w:tab/>
        <w:t xml:space="preserve">Dietary </w:t>
      </w:r>
      <w:r>
        <w:t>e</w:t>
      </w:r>
      <w:r w:rsidRPr="00F935CA">
        <w:t xml:space="preserve">xposure </w:t>
      </w:r>
      <w:r>
        <w:t>a</w:t>
      </w:r>
      <w:r w:rsidRPr="00F935CA">
        <w:t xml:space="preserve">ssessment </w:t>
      </w:r>
      <w:r>
        <w:t>r</w:t>
      </w:r>
      <w:r w:rsidRPr="00F935CA">
        <w:t>esults</w:t>
      </w:r>
      <w:bookmarkEnd w:id="342"/>
      <w:bookmarkEnd w:id="343"/>
      <w:bookmarkEnd w:id="344"/>
      <w:bookmarkEnd w:id="345"/>
      <w:bookmarkEnd w:id="346"/>
      <w:bookmarkEnd w:id="347"/>
      <w:bookmarkEnd w:id="348"/>
      <w:bookmarkEnd w:id="349"/>
    </w:p>
    <w:p w14:paraId="446A9CE1" w14:textId="77777777" w:rsidR="0051780C" w:rsidRPr="00552334" w:rsidRDefault="0051780C" w:rsidP="00B14D36">
      <w:pPr>
        <w:pStyle w:val="Heading3"/>
      </w:pPr>
      <w:bookmarkStart w:id="350" w:name="_Toc466903402"/>
      <w:bookmarkStart w:id="351" w:name="_Toc466909067"/>
      <w:bookmarkStart w:id="352" w:name="_Toc466986183"/>
      <w:bookmarkStart w:id="353" w:name="_Toc466986236"/>
      <w:bookmarkStart w:id="354" w:name="_Toc467052901"/>
      <w:bookmarkStart w:id="355" w:name="_Toc467064054"/>
      <w:bookmarkStart w:id="356" w:name="_Toc467064501"/>
      <w:bookmarkStart w:id="357" w:name="_Toc467077508"/>
      <w:bookmarkStart w:id="358" w:name="_Toc477274234"/>
      <w:r w:rsidRPr="00552334">
        <w:t>5.4.1</w:t>
      </w:r>
      <w:r w:rsidRPr="00552334">
        <w:tab/>
        <w:t>Baseline plant sterol exposure from foods with added plant sterols</w:t>
      </w:r>
      <w:bookmarkEnd w:id="350"/>
      <w:bookmarkEnd w:id="351"/>
      <w:bookmarkEnd w:id="352"/>
      <w:bookmarkEnd w:id="353"/>
      <w:bookmarkEnd w:id="354"/>
      <w:bookmarkEnd w:id="355"/>
      <w:bookmarkEnd w:id="356"/>
      <w:bookmarkEnd w:id="357"/>
      <w:bookmarkEnd w:id="358"/>
    </w:p>
    <w:p w14:paraId="49113ACE" w14:textId="0B73023F" w:rsidR="0051780C" w:rsidRPr="00962376" w:rsidRDefault="0051780C" w:rsidP="0051780C">
      <w:pPr>
        <w:rPr>
          <w:lang w:val="en-GB"/>
        </w:rPr>
      </w:pPr>
      <w:r w:rsidRPr="00962376">
        <w:rPr>
          <w:lang w:val="en-GB"/>
        </w:rPr>
        <w:t xml:space="preserve">The national nutrition survey data showed that the number of plant sterol consumers as a </w:t>
      </w:r>
      <w:r w:rsidR="00855FDD">
        <w:rPr>
          <w:lang w:val="en-GB"/>
        </w:rPr>
        <w:t>proportion</w:t>
      </w:r>
      <w:r w:rsidRPr="00962376">
        <w:rPr>
          <w:lang w:val="en-GB"/>
        </w:rPr>
        <w:t xml:space="preserve"> of respondents was about 5% for both Australian and New Zealand adult populations (Appendix 3). Based on Day 1 results, the 45+ age groups had the highest proportion of consumers (6.6% and 7.6% of respondents for Australian and New Zealand respondents, respectively). Children had the lowest proportion of consumers of foods with added plant sterols (31 consumers or 2% of respondents for Australians aged 2–17 years, which is consistent with previous FSANZ assessments </w:t>
      </w:r>
      <w:r w:rsidRPr="00962376">
        <w:rPr>
          <w:lang w:val="en-GB"/>
        </w:rPr>
        <w:fldChar w:fldCharType="begin" w:fldLock="1"/>
      </w:r>
      <w:r w:rsidRPr="00962376">
        <w:rPr>
          <w:lang w:val="en-GB"/>
        </w:rPr>
        <w:instrText>ADDIN CSL_CITATION { "citationItems" : [ { "id" : "ITEM-1", "itemData" : { "author" : [ { "dropping-particle" : "", "family" : "FSANZ", "given" : "", "non-dropping-particle" : "", "parse-names" : false, "suffix" : "" } ], "id" : "ITEM-1", "issued" : { "date-parts" : [ [ "2010" ] ] }, "publisher-place" : "Canberra", "title" : "Supporting document 1 - Risk assessment report. Application A1019 - Phytosterol esters in low fat cheese", "type" : "report" }, "uris" : [ "http://www.mendeley.com/documents/?uuid=079ac5da-3309-43c9-914e-46c15da4fd1a" ] } ], "mendeley" : { "formattedCitation" : "(FSANZ 2010b)", "plainTextFormattedCitation" : "(FSANZ 2010b)", "previouslyFormattedCitation" : "(FSANZ 2010b)" }, "properties" : { "noteIndex" : 0 }, "schema" : "https://github.com/citation-style-language/schema/raw/master/csl-citation.json" }</w:instrText>
      </w:r>
      <w:r w:rsidRPr="00962376">
        <w:rPr>
          <w:lang w:val="en-GB"/>
        </w:rPr>
        <w:fldChar w:fldCharType="separate"/>
      </w:r>
      <w:r w:rsidRPr="00962376">
        <w:rPr>
          <w:noProof/>
          <w:lang w:val="en-GB"/>
        </w:rPr>
        <w:t>(FSANZ 2010b)</w:t>
      </w:r>
      <w:r w:rsidRPr="00962376">
        <w:rPr>
          <w:lang w:val="en-GB"/>
        </w:rPr>
        <w:fldChar w:fldCharType="end"/>
      </w:r>
      <w:r w:rsidRPr="00962376">
        <w:rPr>
          <w:lang w:val="en-GB"/>
        </w:rPr>
        <w:t>. New Zealand children (5–14 years) had a very low proportion of consumers of foods with added plant sterols (7 consumers or 0.2% of respondents).</w:t>
      </w:r>
    </w:p>
    <w:p w14:paraId="3509CD39" w14:textId="77777777" w:rsidR="0051780C" w:rsidRPr="00962376" w:rsidRDefault="0051780C" w:rsidP="0051780C">
      <w:pPr>
        <w:rPr>
          <w:lang w:val="en-GB"/>
        </w:rPr>
      </w:pPr>
    </w:p>
    <w:p w14:paraId="729377FC" w14:textId="36230287" w:rsidR="0051780C" w:rsidRPr="00962376" w:rsidRDefault="0051780C" w:rsidP="0051780C">
      <w:pPr>
        <w:rPr>
          <w:lang w:val="en-GB"/>
        </w:rPr>
      </w:pPr>
      <w:r w:rsidRPr="00962376">
        <w:rPr>
          <w:lang w:val="en-GB"/>
        </w:rPr>
        <w:t xml:space="preserve">Estimated plant sterol dietary exposure from foods currently permitted to contain plant sterols, consumed in the NNSs for age groups assessed </w:t>
      </w:r>
      <w:r w:rsidR="009122F9">
        <w:rPr>
          <w:lang w:val="en-GB"/>
        </w:rPr>
        <w:t xml:space="preserve">(baseline exposures) </w:t>
      </w:r>
      <w:r w:rsidRPr="00962376">
        <w:rPr>
          <w:lang w:val="en-GB"/>
        </w:rPr>
        <w:t xml:space="preserve">are shown in </w:t>
      </w:r>
      <w:r w:rsidR="00D44833">
        <w:rPr>
          <w:lang w:val="en-GB"/>
        </w:rPr>
        <w:t>Table 4</w:t>
      </w:r>
      <w:r w:rsidR="00855FDD">
        <w:rPr>
          <w:lang w:val="en-GB"/>
        </w:rPr>
        <w:t xml:space="preserve"> and </w:t>
      </w:r>
      <w:r w:rsidRPr="00962376">
        <w:rPr>
          <w:lang w:val="en-GB"/>
        </w:rPr>
        <w:t>Figure 1</w:t>
      </w:r>
      <w:r w:rsidR="00855FDD">
        <w:rPr>
          <w:lang w:val="en-GB"/>
        </w:rPr>
        <w:t>,</w:t>
      </w:r>
      <w:r w:rsidRPr="00962376">
        <w:rPr>
          <w:lang w:val="en-GB"/>
        </w:rPr>
        <w:t xml:space="preserve"> with </w:t>
      </w:r>
      <w:r w:rsidR="00D44833">
        <w:rPr>
          <w:lang w:val="en-GB"/>
        </w:rPr>
        <w:t xml:space="preserve">detailed </w:t>
      </w:r>
      <w:r w:rsidRPr="00962376">
        <w:rPr>
          <w:lang w:val="en-GB"/>
        </w:rPr>
        <w:t>numerical data presented in Appendix 3. These estimates do not capture any breakfast cereal consumption despite the current permission as none were reported as consumed in the nutrition surveys, and for children only include consumption of edible oil spreads.</w:t>
      </w:r>
      <w:r w:rsidR="00F30DEC">
        <w:rPr>
          <w:lang w:val="en-GB"/>
        </w:rPr>
        <w:t xml:space="preserve"> Figure 1</w:t>
      </w:r>
      <w:r w:rsidRPr="00962376">
        <w:rPr>
          <w:lang w:val="en-GB"/>
        </w:rPr>
        <w:t xml:space="preserve"> does not show exposure estimates for the 2002 NZ NCNS, and they are not discussed here in detail, because there were too few persons (n = 7) consuming foods with added plant sterols, although these data are provided in Appendix 3.</w:t>
      </w:r>
    </w:p>
    <w:p w14:paraId="1E6EFFE0" w14:textId="77777777" w:rsidR="0051780C" w:rsidRPr="00962376" w:rsidRDefault="0051780C" w:rsidP="0051780C">
      <w:pPr>
        <w:rPr>
          <w:lang w:val="en-GB" w:eastAsia="en-AU" w:bidi="ar-SA"/>
        </w:rPr>
      </w:pPr>
    </w:p>
    <w:p w14:paraId="235AFB7C" w14:textId="1EE4775A" w:rsidR="0051780C" w:rsidRPr="00962376" w:rsidRDefault="0051780C" w:rsidP="0051780C">
      <w:pPr>
        <w:rPr>
          <w:lang w:val="en-GB"/>
        </w:rPr>
      </w:pPr>
      <w:r w:rsidRPr="00962376">
        <w:rPr>
          <w:lang w:val="en-GB"/>
        </w:rPr>
        <w:t>Based on one day of consumption data, the mean baseline exposures were 0.</w:t>
      </w:r>
      <w:r w:rsidR="00E12DD4">
        <w:rPr>
          <w:lang w:val="en-GB"/>
        </w:rPr>
        <w:t>7</w:t>
      </w:r>
      <w:r w:rsidRPr="00962376">
        <w:rPr>
          <w:lang w:val="en-GB"/>
        </w:rPr>
        <w:t>–</w:t>
      </w:r>
      <w:r w:rsidR="00E12DD4">
        <w:rPr>
          <w:lang w:val="en-GB"/>
        </w:rPr>
        <w:t>0.90 g/day and 1.1</w:t>
      </w:r>
      <w:r w:rsidRPr="00962376">
        <w:rPr>
          <w:lang w:val="en-GB"/>
        </w:rPr>
        <w:t>–1.</w:t>
      </w:r>
      <w:r w:rsidR="00E12DD4">
        <w:rPr>
          <w:lang w:val="en-GB"/>
        </w:rPr>
        <w:t>3</w:t>
      </w:r>
      <w:r w:rsidRPr="00962376">
        <w:rPr>
          <w:lang w:val="en-GB"/>
        </w:rPr>
        <w:t xml:space="preserve"> g/day for Australian and New </w:t>
      </w:r>
      <w:r w:rsidR="00C0033D">
        <w:rPr>
          <w:lang w:val="en-GB"/>
        </w:rPr>
        <w:t>Zealand adults (aged 18+ years)</w:t>
      </w:r>
      <w:r w:rsidRPr="00962376">
        <w:rPr>
          <w:lang w:val="en-GB"/>
        </w:rPr>
        <w:t xml:space="preserve"> respectively</w:t>
      </w:r>
      <w:r w:rsidR="00C0033D">
        <w:rPr>
          <w:lang w:val="en-GB"/>
        </w:rPr>
        <w:t>, expressed as plant sterol equivalents</w:t>
      </w:r>
      <w:r w:rsidRPr="00962376">
        <w:rPr>
          <w:lang w:val="en-GB"/>
        </w:rPr>
        <w:t>. The P90 baseline exposures were 1.56–1.95 g/day and 1.84 and 2.60 g/day for Australian and New Zealand adults (aged 18+ years) respectively</w:t>
      </w:r>
      <w:r w:rsidR="009A0C84">
        <w:rPr>
          <w:lang w:val="en-GB"/>
        </w:rPr>
        <w:t>, expressed as plant sterol equivalents</w:t>
      </w:r>
      <w:r w:rsidRPr="00962376">
        <w:rPr>
          <w:lang w:val="en-GB"/>
        </w:rPr>
        <w:t>. Results for specific age groups are shown in Appendix 3.</w:t>
      </w:r>
    </w:p>
    <w:p w14:paraId="22BFB536" w14:textId="77777777" w:rsidR="00724D8F" w:rsidRDefault="00724D8F" w:rsidP="0051780C">
      <w:pPr>
        <w:rPr>
          <w:highlight w:val="yellow"/>
          <w:lang w:val="en-GB"/>
        </w:rPr>
      </w:pPr>
      <w:r>
        <w:rPr>
          <w:highlight w:val="yellow"/>
          <w:lang w:val="en-GB"/>
        </w:rPr>
        <w:br w:type="page"/>
      </w:r>
    </w:p>
    <w:p w14:paraId="3CDE280F" w14:textId="34FF47E4" w:rsidR="0051780C" w:rsidRPr="00552334" w:rsidRDefault="0051780C" w:rsidP="0051780C">
      <w:pPr>
        <w:rPr>
          <w:lang w:val="en-GB"/>
        </w:rPr>
      </w:pPr>
      <w:r w:rsidRPr="00552334">
        <w:rPr>
          <w:lang w:val="en-GB"/>
        </w:rPr>
        <w:lastRenderedPageBreak/>
        <w:t>Based on one day of consumption data for Australian children</w:t>
      </w:r>
      <w:r w:rsidRPr="00962376">
        <w:rPr>
          <w:rStyle w:val="FootnoteReference"/>
          <w:lang w:val="en-GB"/>
        </w:rPr>
        <w:footnoteReference w:id="5"/>
      </w:r>
      <w:r w:rsidRPr="00552334">
        <w:rPr>
          <w:lang w:val="en-GB"/>
        </w:rPr>
        <w:t xml:space="preserve"> (aged 2</w:t>
      </w:r>
      <w:r w:rsidRPr="00962376">
        <w:rPr>
          <w:lang w:val="en-GB"/>
        </w:rPr>
        <w:t>–</w:t>
      </w:r>
      <w:r w:rsidRPr="00552334">
        <w:rPr>
          <w:lang w:val="en-GB"/>
        </w:rPr>
        <w:t>17 years), the mean and P90 baseline exposures for consumers of plant sterols were 0.</w:t>
      </w:r>
      <w:r w:rsidR="00E12DD4">
        <w:rPr>
          <w:lang w:val="en-GB"/>
        </w:rPr>
        <w:t>5</w:t>
      </w:r>
      <w:r w:rsidRPr="00962376">
        <w:rPr>
          <w:lang w:val="en-GB"/>
        </w:rPr>
        <w:t>–</w:t>
      </w:r>
      <w:r w:rsidRPr="00552334">
        <w:rPr>
          <w:lang w:val="en-GB"/>
        </w:rPr>
        <w:t>1.</w:t>
      </w:r>
      <w:r w:rsidR="00E12DD4">
        <w:rPr>
          <w:lang w:val="en-GB"/>
        </w:rPr>
        <w:t>4</w:t>
      </w:r>
      <w:r w:rsidRPr="00552334">
        <w:rPr>
          <w:lang w:val="en-GB"/>
        </w:rPr>
        <w:t xml:space="preserve"> g/day and 0.</w:t>
      </w:r>
      <w:r w:rsidR="00E12DD4">
        <w:rPr>
          <w:lang w:val="en-GB"/>
        </w:rPr>
        <w:t>8</w:t>
      </w:r>
      <w:r w:rsidRPr="00962376">
        <w:rPr>
          <w:lang w:val="en-GB"/>
        </w:rPr>
        <w:t>–</w:t>
      </w:r>
      <w:r w:rsidR="009A0C84">
        <w:rPr>
          <w:lang w:val="en-GB"/>
        </w:rPr>
        <w:t>2.</w:t>
      </w:r>
      <w:r w:rsidR="00E12DD4">
        <w:rPr>
          <w:lang w:val="en-GB"/>
        </w:rPr>
        <w:t>7</w:t>
      </w:r>
      <w:r w:rsidR="009A0C84">
        <w:rPr>
          <w:lang w:val="en-GB"/>
        </w:rPr>
        <w:t xml:space="preserve"> g/day</w:t>
      </w:r>
      <w:r w:rsidRPr="00552334">
        <w:rPr>
          <w:lang w:val="en-GB"/>
        </w:rPr>
        <w:t xml:space="preserve"> respectively</w:t>
      </w:r>
      <w:r w:rsidR="009A0C84">
        <w:rPr>
          <w:lang w:val="en-GB"/>
        </w:rPr>
        <w:t>, expressed as plant sterol equivalents</w:t>
      </w:r>
      <w:r>
        <w:rPr>
          <w:lang w:val="en-GB"/>
        </w:rPr>
        <w:t xml:space="preserve">. </w:t>
      </w:r>
    </w:p>
    <w:p w14:paraId="31B39839" w14:textId="77777777" w:rsidR="0051780C" w:rsidRPr="00552334" w:rsidRDefault="0051780C" w:rsidP="0051780C">
      <w:pPr>
        <w:rPr>
          <w:lang w:val="en-GB"/>
        </w:rPr>
      </w:pPr>
    </w:p>
    <w:p w14:paraId="51E39534" w14:textId="63B3EF65" w:rsidR="0051780C" w:rsidRPr="00552334" w:rsidRDefault="0051780C" w:rsidP="0051780C">
      <w:pPr>
        <w:rPr>
          <w:lang w:val="en-GB"/>
        </w:rPr>
      </w:pPr>
      <w:r w:rsidRPr="00E10D8F">
        <w:rPr>
          <w:lang w:val="en-GB"/>
        </w:rPr>
        <w:t>Nearly all plant sterol exposure was derived from consumption of edible oil spreads</w:t>
      </w:r>
      <w:r w:rsidR="00E12DD4">
        <w:rPr>
          <w:lang w:val="en-GB"/>
        </w:rPr>
        <w:t xml:space="preserve"> (Figure 2)</w:t>
      </w:r>
      <w:r w:rsidRPr="00E10D8F">
        <w:rPr>
          <w:lang w:val="en-GB"/>
        </w:rPr>
        <w:t>.</w:t>
      </w:r>
      <w:r w:rsidRPr="00552334">
        <w:rPr>
          <w:lang w:val="en-GB"/>
        </w:rPr>
        <w:t xml:space="preserve"> However, types of edible oil spreads differed slightly with Australia</w:t>
      </w:r>
      <w:r w:rsidR="00AD2903">
        <w:rPr>
          <w:lang w:val="en-GB"/>
        </w:rPr>
        <w:t>ns</w:t>
      </w:r>
      <w:r w:rsidRPr="00552334">
        <w:rPr>
          <w:lang w:val="en-GB"/>
        </w:rPr>
        <w:t xml:space="preserve"> mainly consuming reduced salt versions (with either regular fat or reduced fat content) and New Zealand </w:t>
      </w:r>
      <w:r w:rsidR="00AD2903">
        <w:rPr>
          <w:lang w:val="en-GB"/>
        </w:rPr>
        <w:t xml:space="preserve">population groups </w:t>
      </w:r>
      <w:r w:rsidRPr="00552334">
        <w:rPr>
          <w:lang w:val="en-GB"/>
        </w:rPr>
        <w:t>mainly consuming reduced or standard fat versions with standard salt content. Only the adult age group (18+ years) of the Australian population consumed unflavoured milks or processed cheese containing added plant sterols. However, the percent contribution of these foods to total plant sterol exposure was very low (&lt; 3%)</w:t>
      </w:r>
      <w:r w:rsidRPr="00552334">
        <w:rPr>
          <w:lang w:val="en-GB" w:eastAsia="en-AU" w:bidi="ar-SA"/>
        </w:rPr>
        <w:t xml:space="preserve">. </w:t>
      </w:r>
      <w:r w:rsidRPr="00552334">
        <w:rPr>
          <w:lang w:val="en-GB"/>
        </w:rPr>
        <w:t xml:space="preserve">This could be due to the Australian survey being conducted more recently (2011–12) and the availability of more products containing plant sterols like milk and cheese on the market compared to when the New Zealand surveys were conducted. </w:t>
      </w:r>
    </w:p>
    <w:p w14:paraId="7D9D4982" w14:textId="77777777" w:rsidR="0051780C" w:rsidRPr="00962376" w:rsidRDefault="0051780C" w:rsidP="0051780C">
      <w:pPr>
        <w:rPr>
          <w:lang w:val="en-GB" w:eastAsia="en-AU" w:bidi="ar-SA"/>
        </w:rPr>
      </w:pPr>
      <w:r w:rsidRPr="00552334">
        <w:rPr>
          <w:noProof/>
          <w:lang w:val="en-GB" w:eastAsia="en-GB" w:bidi="ar-SA"/>
        </w:rPr>
        <w:drawing>
          <wp:inline distT="0" distB="0" distL="0" distR="0" wp14:anchorId="237A482B" wp14:editId="252F6F57">
            <wp:extent cx="4398380" cy="2604304"/>
            <wp:effectExtent l="0" t="0" r="2540" b="5715"/>
            <wp:docPr id="2" name="Chart 2" title="Phytosterol exposure New Zealand Adul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19F677" w14:textId="77777777" w:rsidR="0051780C" w:rsidRPr="00962376" w:rsidRDefault="0051780C" w:rsidP="0051780C">
      <w:pPr>
        <w:ind w:left="142"/>
        <w:rPr>
          <w:lang w:val="en-GB" w:eastAsia="en-AU" w:bidi="ar-SA"/>
        </w:rPr>
      </w:pPr>
      <w:r w:rsidRPr="00552334">
        <w:rPr>
          <w:noProof/>
          <w:lang w:val="en-GB" w:eastAsia="en-GB" w:bidi="ar-SA"/>
        </w:rPr>
        <w:drawing>
          <wp:inline distT="0" distB="0" distL="0" distR="0" wp14:anchorId="27CF2EA7" wp14:editId="17C482F6">
            <wp:extent cx="4456253" cy="2592730"/>
            <wp:effectExtent l="0" t="0" r="1905" b="0"/>
            <wp:docPr id="5" name="Chart 5" title="Phytosterol exposure Australia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10FED4" w14:textId="77777777" w:rsidR="0051780C" w:rsidRPr="00962376" w:rsidRDefault="0051780C" w:rsidP="0051780C">
      <w:pPr>
        <w:rPr>
          <w:lang w:val="en-GB" w:eastAsia="en-AU" w:bidi="ar-SA"/>
        </w:rPr>
      </w:pPr>
      <w:r w:rsidRPr="00552334">
        <w:rPr>
          <w:noProof/>
          <w:lang w:val="en-GB" w:eastAsia="en-GB" w:bidi="ar-SA"/>
        </w:rPr>
        <w:lastRenderedPageBreak/>
        <w:drawing>
          <wp:inline distT="0" distB="0" distL="0" distR="0" wp14:anchorId="1F2B71C1" wp14:editId="60B7C6BD">
            <wp:extent cx="4456253" cy="2835797"/>
            <wp:effectExtent l="0" t="0" r="1905" b="3175"/>
            <wp:docPr id="8" name="Chart 8" title="Phtosterol exposure Australia day 1 and 2 aver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0D15C9" w14:textId="77777777" w:rsidR="0051780C" w:rsidRPr="00962376" w:rsidRDefault="0051780C" w:rsidP="00724D8F">
      <w:pPr>
        <w:pStyle w:val="FSFigureTitle"/>
        <w:ind w:right="-286"/>
        <w:rPr>
          <w:szCs w:val="20"/>
          <w:lang w:val="en-GB" w:eastAsia="en-AU" w:bidi="ar-SA"/>
        </w:rPr>
      </w:pPr>
      <w:r w:rsidRPr="00962376">
        <w:rPr>
          <w:lang w:val="en-GB" w:eastAsia="en-AU"/>
        </w:rPr>
        <w:t>Figure 1: Baseline estimated dietary exposure to plant sterols for persons consuming foods with added plant sterols, by age groups.</w:t>
      </w:r>
      <w:r w:rsidRPr="00962376">
        <w:rPr>
          <w:szCs w:val="20"/>
          <w:lang w:val="en-GB" w:eastAsia="en-AU" w:bidi="ar-SA"/>
        </w:rPr>
        <w:t xml:space="preserve"> Results were derived from NNSs, as indicated. Results for New Zealand Children (2002 NCNS) and the P90 for New Zealand Adults aged 15-17 years (2008 ANS) are not shown due to limited numbers of consumers (see Appendix 3). </w:t>
      </w:r>
    </w:p>
    <w:p w14:paraId="610982C7" w14:textId="77777777" w:rsidR="0051780C" w:rsidRPr="00962376" w:rsidRDefault="0051780C" w:rsidP="0051780C">
      <w:pPr>
        <w:rPr>
          <w:lang w:val="en-GB" w:eastAsia="en-AU" w:bidi="ar-SA"/>
        </w:rPr>
      </w:pPr>
      <w:r w:rsidRPr="00552334">
        <w:rPr>
          <w:noProof/>
          <w:lang w:val="en-GB" w:eastAsia="en-GB" w:bidi="ar-SA"/>
        </w:rPr>
        <w:drawing>
          <wp:inline distT="0" distB="0" distL="0" distR="0" wp14:anchorId="05502166" wp14:editId="6E1DE645">
            <wp:extent cx="5653378" cy="2806811"/>
            <wp:effectExtent l="0" t="0" r="5080" b="0"/>
            <wp:docPr id="6" name="Chart 6" descr="Shows the percent contribution to phytosterol exposure for Australia from different products" title="Percent contribution to phytosterol exposure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EB066D" w14:textId="77777777" w:rsidR="0051780C" w:rsidRPr="00962376" w:rsidRDefault="0051780C" w:rsidP="0051780C">
      <w:pPr>
        <w:rPr>
          <w:lang w:val="en-GB" w:eastAsia="en-AU" w:bidi="ar-SA"/>
        </w:rPr>
      </w:pPr>
      <w:r w:rsidRPr="00552334">
        <w:rPr>
          <w:noProof/>
          <w:lang w:val="en-GB" w:eastAsia="en-GB" w:bidi="ar-SA"/>
        </w:rPr>
        <w:drawing>
          <wp:inline distT="0" distB="0" distL="0" distR="0" wp14:anchorId="0C17E951" wp14:editId="0C5E92D5">
            <wp:extent cx="5687291" cy="2521527"/>
            <wp:effectExtent l="0" t="0" r="8890" b="0"/>
            <wp:docPr id="7" name="Chart 7" descr="Shows the estimated percent contribution to pytosterol exposure for New Zealand adults from different products" title="Percent contribution to phytosterol exposure from different produc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62604A" w14:textId="77777777" w:rsidR="0051780C" w:rsidRPr="00962376" w:rsidRDefault="0051780C" w:rsidP="0051780C">
      <w:pPr>
        <w:pStyle w:val="FSFigureTitle"/>
        <w:rPr>
          <w:b/>
          <w:sz w:val="20"/>
          <w:szCs w:val="20"/>
          <w:lang w:val="en-GB" w:eastAsia="en-AU" w:bidi="ar-SA"/>
        </w:rPr>
      </w:pPr>
      <w:r w:rsidRPr="00552334">
        <w:rPr>
          <w:noProof/>
          <w:lang w:val="en-GB" w:eastAsia="en-GB" w:bidi="ar-SA"/>
        </w:rPr>
        <w:lastRenderedPageBreak/>
        <w:drawing>
          <wp:inline distT="0" distB="0" distL="0" distR="0" wp14:anchorId="2333B705" wp14:editId="1200F2CA">
            <wp:extent cx="5581816" cy="2727297"/>
            <wp:effectExtent l="0" t="0" r="0" b="0"/>
            <wp:docPr id="12" name="Chart 12" title="Per cent contribution to phytosterol exposure New Zealand Children "/>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4149E71" w14:textId="691A85E3" w:rsidR="0051780C" w:rsidRPr="00962376" w:rsidRDefault="0051780C" w:rsidP="0051780C">
      <w:pPr>
        <w:pStyle w:val="FSFigureTitle"/>
        <w:rPr>
          <w:b/>
          <w:szCs w:val="22"/>
          <w:lang w:val="en-GB" w:eastAsia="en-AU" w:bidi="ar-SA"/>
        </w:rPr>
      </w:pPr>
      <w:r w:rsidRPr="00962376">
        <w:rPr>
          <w:szCs w:val="22"/>
          <w:lang w:val="en-GB" w:eastAsia="en-AU"/>
        </w:rPr>
        <w:t>Figure 2: Per</w:t>
      </w:r>
      <w:r w:rsidRPr="00F0687E">
        <w:rPr>
          <w:szCs w:val="22"/>
          <w:lang w:val="en-GB" w:eastAsia="en-AU"/>
        </w:rPr>
        <w:t xml:space="preserve"> </w:t>
      </w:r>
      <w:r w:rsidRPr="00962376">
        <w:rPr>
          <w:szCs w:val="22"/>
          <w:lang w:val="en-GB" w:eastAsia="en-AU"/>
        </w:rPr>
        <w:t>cent contribution of foods with added plant sterols to the population baseline estimated dietary exposure (mean exposure grams/day)</w:t>
      </w:r>
      <w:r w:rsidRPr="00962376">
        <w:rPr>
          <w:szCs w:val="22"/>
          <w:lang w:val="en-GB" w:eastAsia="en-AU" w:bidi="ar-SA"/>
        </w:rPr>
        <w:t>.</w:t>
      </w:r>
      <w:r w:rsidRPr="00962376">
        <w:rPr>
          <w:rFonts w:cs="Times New Roman"/>
          <w:szCs w:val="22"/>
          <w:lang w:val="en-GB" w:eastAsia="en-AU" w:bidi="ar-SA"/>
        </w:rPr>
        <w:t xml:space="preserve"> </w:t>
      </w:r>
      <w:r w:rsidRPr="00962376">
        <w:rPr>
          <w:szCs w:val="22"/>
          <w:lang w:val="en-GB" w:eastAsia="en-AU" w:bidi="ar-SA"/>
        </w:rPr>
        <w:t>Results were derived from NNSs, as indicated</w:t>
      </w:r>
      <w:r w:rsidRPr="00962376">
        <w:rPr>
          <w:b/>
          <w:szCs w:val="22"/>
          <w:lang w:val="en-GB" w:eastAsia="en-AU" w:bidi="ar-SA"/>
        </w:rPr>
        <w:t xml:space="preserve">. </w:t>
      </w:r>
    </w:p>
    <w:p w14:paraId="060F51A9" w14:textId="5EF24CC1" w:rsidR="0051780C" w:rsidRPr="00552334" w:rsidRDefault="0051780C" w:rsidP="000E6116">
      <w:pPr>
        <w:pStyle w:val="Heading3"/>
      </w:pPr>
      <w:bookmarkStart w:id="359" w:name="_Toc466903403"/>
      <w:bookmarkStart w:id="360" w:name="_Toc466909068"/>
      <w:bookmarkStart w:id="361" w:name="_Toc466986184"/>
      <w:bookmarkStart w:id="362" w:name="_Toc466986237"/>
      <w:bookmarkStart w:id="363" w:name="_Toc467052902"/>
      <w:bookmarkStart w:id="364" w:name="_Toc467064055"/>
      <w:bookmarkStart w:id="365" w:name="_Toc467064502"/>
      <w:bookmarkStart w:id="366" w:name="_Toc467077509"/>
      <w:bookmarkStart w:id="367" w:name="_Toc477274235"/>
      <w:r w:rsidRPr="00552334">
        <w:t>5.4.2</w:t>
      </w:r>
      <w:r w:rsidR="000E6116">
        <w:tab/>
      </w:r>
      <w:r w:rsidRPr="00552334">
        <w:t>Estimated total dietary plant sterol exposure</w:t>
      </w:r>
      <w:r w:rsidR="000E6116">
        <w:t xml:space="preserve"> – p</w:t>
      </w:r>
      <w:r w:rsidRPr="00552334">
        <w:t xml:space="preserve">er </w:t>
      </w:r>
      <w:r w:rsidRPr="00E10D8F">
        <w:t>portion</w:t>
      </w:r>
      <w:r w:rsidRPr="00552334">
        <w:t xml:space="preserve"> approach</w:t>
      </w:r>
      <w:bookmarkEnd w:id="359"/>
      <w:bookmarkEnd w:id="360"/>
      <w:bookmarkEnd w:id="361"/>
      <w:bookmarkEnd w:id="362"/>
      <w:bookmarkEnd w:id="363"/>
      <w:bookmarkEnd w:id="364"/>
      <w:bookmarkEnd w:id="365"/>
      <w:bookmarkEnd w:id="366"/>
      <w:bookmarkEnd w:id="367"/>
      <w:r w:rsidRPr="00552334">
        <w:t xml:space="preserve"> </w:t>
      </w:r>
    </w:p>
    <w:p w14:paraId="14BC767F" w14:textId="2A9D9234" w:rsidR="0051780C" w:rsidRPr="00552334" w:rsidRDefault="0051780C" w:rsidP="0051780C">
      <w:pPr>
        <w:rPr>
          <w:lang w:val="en-GB"/>
        </w:rPr>
      </w:pPr>
      <w:r w:rsidRPr="00552334">
        <w:rPr>
          <w:lang w:val="en-GB"/>
        </w:rPr>
        <w:t xml:space="preserve">If a </w:t>
      </w:r>
      <w:r w:rsidR="0040536E">
        <w:rPr>
          <w:lang w:val="en-GB"/>
        </w:rPr>
        <w:t>serving</w:t>
      </w:r>
      <w:r w:rsidRPr="00552334">
        <w:rPr>
          <w:lang w:val="en-GB"/>
        </w:rPr>
        <w:t xml:space="preserve"> of breakfast cereals containing 2.2 g plant sterols was consumed in addition to other foods containing added plant sterols (i.e. baseline exposure), the estimated mean total dietary exposure to plant sterols would not exceed 4.0 g/day across all population groups and the maximum P90 exposure would be 4.8 g/day and 5.1 g/day for New Zealand and Australian consumers</w:t>
      </w:r>
      <w:r w:rsidRPr="00552334">
        <w:rPr>
          <w:vertAlign w:val="superscript"/>
          <w:lang w:val="en-GB"/>
        </w:rPr>
        <w:t>2</w:t>
      </w:r>
      <w:r w:rsidR="009A0C84">
        <w:rPr>
          <w:lang w:val="en-GB"/>
        </w:rPr>
        <w:t xml:space="preserve"> </w:t>
      </w:r>
      <w:r w:rsidRPr="00552334">
        <w:rPr>
          <w:lang w:val="en-GB"/>
        </w:rPr>
        <w:t>respectively</w:t>
      </w:r>
      <w:r w:rsidR="009A0C84">
        <w:rPr>
          <w:lang w:val="en-GB"/>
        </w:rPr>
        <w:t>, expressed as plant sterol equivalents</w:t>
      </w:r>
      <w:r w:rsidRPr="00552334">
        <w:rPr>
          <w:lang w:val="en-GB"/>
        </w:rPr>
        <w:t xml:space="preserve"> (Table 4).</w:t>
      </w:r>
    </w:p>
    <w:p w14:paraId="1D1A9F29" w14:textId="77777777" w:rsidR="0051780C" w:rsidRPr="00552334" w:rsidRDefault="0051780C" w:rsidP="0051780C">
      <w:pPr>
        <w:rPr>
          <w:lang w:val="en-GB"/>
        </w:rPr>
      </w:pPr>
    </w:p>
    <w:p w14:paraId="2158A424" w14:textId="75E76289" w:rsidR="0051780C" w:rsidRPr="00962376" w:rsidRDefault="0051780C" w:rsidP="002166FB">
      <w:pPr>
        <w:pStyle w:val="FSTableTitle"/>
        <w:spacing w:after="120"/>
        <w:rPr>
          <w:vertAlign w:val="superscript"/>
          <w:lang w:val="en-GB"/>
        </w:rPr>
      </w:pPr>
      <w:r w:rsidRPr="00962376">
        <w:rPr>
          <w:lang w:val="en-GB"/>
        </w:rPr>
        <w:t>Table 4</w:t>
      </w:r>
      <w:r>
        <w:rPr>
          <w:lang w:val="en-GB"/>
        </w:rPr>
        <w:t>:</w:t>
      </w:r>
      <w:r w:rsidRPr="00962376">
        <w:rPr>
          <w:lang w:val="en-GB"/>
        </w:rPr>
        <w:t xml:space="preserve"> Estimated total dietary exposures based on consumption of baseline foods containing added plant sterols and consumption of a portion-controlled breakfast cereal with added plant sterols at the MPL – Day 1 only, by age</w:t>
      </w:r>
      <w:r w:rsidRPr="00962376">
        <w:rPr>
          <w:vertAlign w:val="superscript"/>
          <w:lang w:val="en-GB"/>
        </w:rPr>
        <w:t>1,2</w:t>
      </w:r>
    </w:p>
    <w:tbl>
      <w:tblPr>
        <w:tblW w:w="5018" w:type="pct"/>
        <w:tblInd w:w="-34" w:type="dxa"/>
        <w:tblLayout w:type="fixed"/>
        <w:tblLook w:val="04A0" w:firstRow="1" w:lastRow="0" w:firstColumn="1" w:lastColumn="0" w:noHBand="0" w:noVBand="1"/>
      </w:tblPr>
      <w:tblGrid>
        <w:gridCol w:w="1136"/>
        <w:gridCol w:w="1402"/>
        <w:gridCol w:w="1433"/>
        <w:gridCol w:w="1560"/>
        <w:gridCol w:w="1894"/>
        <w:gridCol w:w="1894"/>
      </w:tblGrid>
      <w:tr w:rsidR="0051780C" w:rsidRPr="00552334" w14:paraId="516C0DAF" w14:textId="77777777" w:rsidTr="00724D8F">
        <w:trPr>
          <w:trHeight w:val="454"/>
          <w:tblHeader/>
        </w:trPr>
        <w:tc>
          <w:tcPr>
            <w:tcW w:w="610" w:type="pct"/>
            <w:vMerge w:val="restart"/>
            <w:tcBorders>
              <w:top w:val="single" w:sz="4" w:space="0" w:color="auto"/>
            </w:tcBorders>
            <w:shd w:val="clear" w:color="auto" w:fill="auto"/>
            <w:vAlign w:val="center"/>
          </w:tcPr>
          <w:p w14:paraId="1C2B12AC" w14:textId="77777777" w:rsidR="0051780C" w:rsidRPr="00962376" w:rsidRDefault="0051780C" w:rsidP="00A573C4">
            <w:pPr>
              <w:pStyle w:val="FSTableText"/>
              <w:rPr>
                <w:b/>
                <w:lang w:val="en-GB"/>
              </w:rPr>
            </w:pPr>
            <w:r w:rsidRPr="00962376">
              <w:rPr>
                <w:b/>
                <w:lang w:val="en-GB"/>
              </w:rPr>
              <w:t>Survey</w:t>
            </w:r>
          </w:p>
        </w:tc>
        <w:tc>
          <w:tcPr>
            <w:tcW w:w="752" w:type="pct"/>
            <w:vMerge w:val="restart"/>
            <w:tcBorders>
              <w:top w:val="single" w:sz="4" w:space="0" w:color="auto"/>
            </w:tcBorders>
            <w:vAlign w:val="center"/>
          </w:tcPr>
          <w:p w14:paraId="3B78242E" w14:textId="77777777" w:rsidR="0051780C" w:rsidRPr="00962376" w:rsidRDefault="0051780C" w:rsidP="00A573C4">
            <w:pPr>
              <w:pStyle w:val="FSTableText"/>
              <w:rPr>
                <w:b/>
                <w:lang w:val="en-GB"/>
              </w:rPr>
            </w:pPr>
            <w:r w:rsidRPr="00962376">
              <w:rPr>
                <w:b/>
                <w:lang w:val="en-GB"/>
              </w:rPr>
              <w:t xml:space="preserve">Age groups </w:t>
            </w:r>
          </w:p>
        </w:tc>
        <w:tc>
          <w:tcPr>
            <w:tcW w:w="1606" w:type="pct"/>
            <w:gridSpan w:val="2"/>
            <w:tcBorders>
              <w:top w:val="single" w:sz="4" w:space="0" w:color="auto"/>
            </w:tcBorders>
            <w:vAlign w:val="center"/>
          </w:tcPr>
          <w:p w14:paraId="0B10CE6F" w14:textId="6D870987" w:rsidR="0051780C" w:rsidRPr="004C4EBB" w:rsidRDefault="0051780C" w:rsidP="00A573C4">
            <w:pPr>
              <w:pStyle w:val="FSTableText"/>
              <w:jc w:val="center"/>
              <w:rPr>
                <w:b/>
                <w:lang w:val="en-GB"/>
              </w:rPr>
            </w:pPr>
            <w:r w:rsidRPr="00962376">
              <w:rPr>
                <w:b/>
                <w:lang w:val="en-GB"/>
              </w:rPr>
              <w:t xml:space="preserve">Estimated Exposure Baseline foods </w:t>
            </w:r>
            <w:r w:rsidRPr="004C4EBB">
              <w:rPr>
                <w:b/>
                <w:lang w:val="en-GB"/>
              </w:rPr>
              <w:t>only</w:t>
            </w:r>
            <w:r w:rsidR="004C4EBB" w:rsidRPr="004C4EBB">
              <w:rPr>
                <w:b/>
                <w:vertAlign w:val="superscript"/>
                <w:lang w:val="en-GB"/>
              </w:rPr>
              <w:t>3</w:t>
            </w:r>
          </w:p>
          <w:p w14:paraId="1ECC2403" w14:textId="77777777" w:rsidR="0051780C" w:rsidRPr="00962376" w:rsidRDefault="0051780C" w:rsidP="00A573C4">
            <w:pPr>
              <w:pStyle w:val="FSTableText"/>
              <w:jc w:val="center"/>
              <w:rPr>
                <w:b/>
                <w:lang w:val="en-GB"/>
              </w:rPr>
            </w:pPr>
            <w:r w:rsidRPr="00962376">
              <w:rPr>
                <w:b/>
                <w:lang w:val="en-GB"/>
              </w:rPr>
              <w:t>(g/day)</w:t>
            </w:r>
          </w:p>
        </w:tc>
        <w:tc>
          <w:tcPr>
            <w:tcW w:w="2032" w:type="pct"/>
            <w:gridSpan w:val="2"/>
            <w:tcBorders>
              <w:top w:val="single" w:sz="4" w:space="0" w:color="auto"/>
            </w:tcBorders>
            <w:vAlign w:val="center"/>
          </w:tcPr>
          <w:p w14:paraId="188E3699" w14:textId="77777777" w:rsidR="0051780C" w:rsidRPr="00962376" w:rsidRDefault="0051780C" w:rsidP="00A573C4">
            <w:pPr>
              <w:pStyle w:val="FSTableText"/>
              <w:jc w:val="center"/>
              <w:rPr>
                <w:b/>
                <w:lang w:val="en-GB"/>
              </w:rPr>
            </w:pPr>
            <w:r w:rsidRPr="00962376">
              <w:rPr>
                <w:b/>
                <w:lang w:val="en-GB"/>
              </w:rPr>
              <w:t>Estimated Exposure</w:t>
            </w:r>
          </w:p>
          <w:p w14:paraId="22D14534" w14:textId="749BC53C" w:rsidR="0051780C" w:rsidRPr="00962376" w:rsidRDefault="0051780C" w:rsidP="00A573C4">
            <w:pPr>
              <w:pStyle w:val="FSTableText"/>
              <w:jc w:val="center"/>
              <w:rPr>
                <w:b/>
                <w:lang w:val="en-GB"/>
              </w:rPr>
            </w:pPr>
            <w:r w:rsidRPr="00962376">
              <w:rPr>
                <w:b/>
                <w:lang w:val="en-GB"/>
              </w:rPr>
              <w:t>Baseline foods + 2.2 g/day from portion-controlled breakfast cereal</w:t>
            </w:r>
            <w:r w:rsidR="004C4EBB" w:rsidRPr="004C4EBB">
              <w:rPr>
                <w:b/>
                <w:vertAlign w:val="superscript"/>
                <w:lang w:val="en-GB"/>
              </w:rPr>
              <w:t>3</w:t>
            </w:r>
          </w:p>
          <w:p w14:paraId="5158A984" w14:textId="77777777" w:rsidR="0051780C" w:rsidRPr="00962376" w:rsidRDefault="0051780C" w:rsidP="00A573C4">
            <w:pPr>
              <w:pStyle w:val="FSTableText"/>
              <w:jc w:val="center"/>
              <w:rPr>
                <w:b/>
                <w:lang w:val="en-GB"/>
              </w:rPr>
            </w:pPr>
            <w:r w:rsidRPr="00962376">
              <w:rPr>
                <w:b/>
                <w:lang w:val="en-GB"/>
              </w:rPr>
              <w:t>(g/day)</w:t>
            </w:r>
          </w:p>
        </w:tc>
      </w:tr>
      <w:tr w:rsidR="0051780C" w:rsidRPr="00552334" w14:paraId="400785FC" w14:textId="77777777" w:rsidTr="00724D8F">
        <w:trPr>
          <w:trHeight w:val="454"/>
          <w:tblHeader/>
        </w:trPr>
        <w:tc>
          <w:tcPr>
            <w:tcW w:w="610" w:type="pct"/>
            <w:vMerge/>
            <w:tcBorders>
              <w:bottom w:val="single" w:sz="4" w:space="0" w:color="auto"/>
            </w:tcBorders>
            <w:shd w:val="clear" w:color="auto" w:fill="auto"/>
            <w:vAlign w:val="center"/>
            <w:hideMark/>
          </w:tcPr>
          <w:p w14:paraId="3955DF85" w14:textId="77777777" w:rsidR="0051780C" w:rsidRPr="00962376" w:rsidRDefault="0051780C" w:rsidP="00A573C4">
            <w:pPr>
              <w:pStyle w:val="FSTableText"/>
              <w:rPr>
                <w:b/>
                <w:lang w:val="en-GB"/>
              </w:rPr>
            </w:pPr>
          </w:p>
        </w:tc>
        <w:tc>
          <w:tcPr>
            <w:tcW w:w="752" w:type="pct"/>
            <w:vMerge/>
            <w:tcBorders>
              <w:bottom w:val="single" w:sz="4" w:space="0" w:color="auto"/>
            </w:tcBorders>
            <w:vAlign w:val="center"/>
          </w:tcPr>
          <w:p w14:paraId="2E6CCF34" w14:textId="77777777" w:rsidR="0051780C" w:rsidRPr="00962376" w:rsidRDefault="0051780C" w:rsidP="00A573C4">
            <w:pPr>
              <w:pStyle w:val="FSTableText"/>
              <w:rPr>
                <w:b/>
                <w:lang w:val="en-GB"/>
              </w:rPr>
            </w:pPr>
          </w:p>
        </w:tc>
        <w:tc>
          <w:tcPr>
            <w:tcW w:w="769" w:type="pct"/>
            <w:tcBorders>
              <w:bottom w:val="single" w:sz="4" w:space="0" w:color="auto"/>
            </w:tcBorders>
            <w:vAlign w:val="center"/>
          </w:tcPr>
          <w:p w14:paraId="1F55C839" w14:textId="77777777" w:rsidR="0051780C" w:rsidRPr="00962376" w:rsidRDefault="0051780C" w:rsidP="00A573C4">
            <w:pPr>
              <w:pStyle w:val="FSTableText"/>
              <w:jc w:val="center"/>
              <w:rPr>
                <w:b/>
                <w:lang w:val="en-GB"/>
              </w:rPr>
            </w:pPr>
            <w:r w:rsidRPr="00962376">
              <w:rPr>
                <w:b/>
                <w:lang w:val="en-GB"/>
              </w:rPr>
              <w:t>Mean</w:t>
            </w:r>
          </w:p>
        </w:tc>
        <w:tc>
          <w:tcPr>
            <w:tcW w:w="837" w:type="pct"/>
            <w:tcBorders>
              <w:bottom w:val="single" w:sz="4" w:space="0" w:color="auto"/>
            </w:tcBorders>
            <w:vAlign w:val="center"/>
          </w:tcPr>
          <w:p w14:paraId="38EEED60" w14:textId="77777777" w:rsidR="0051780C" w:rsidRPr="00962376" w:rsidRDefault="0051780C" w:rsidP="00A573C4">
            <w:pPr>
              <w:pStyle w:val="FSTableText"/>
              <w:jc w:val="center"/>
              <w:rPr>
                <w:b/>
                <w:lang w:val="en-GB"/>
              </w:rPr>
            </w:pPr>
            <w:r w:rsidRPr="00962376">
              <w:rPr>
                <w:b/>
                <w:lang w:val="en-GB"/>
              </w:rPr>
              <w:t>P90</w:t>
            </w:r>
          </w:p>
        </w:tc>
        <w:tc>
          <w:tcPr>
            <w:tcW w:w="1016" w:type="pct"/>
            <w:tcBorders>
              <w:bottom w:val="single" w:sz="4" w:space="0" w:color="auto"/>
            </w:tcBorders>
            <w:vAlign w:val="center"/>
          </w:tcPr>
          <w:p w14:paraId="41155E55" w14:textId="77777777" w:rsidR="0051780C" w:rsidRPr="00962376" w:rsidRDefault="0051780C" w:rsidP="00A573C4">
            <w:pPr>
              <w:pStyle w:val="FSTableText"/>
              <w:jc w:val="center"/>
              <w:rPr>
                <w:b/>
                <w:lang w:val="en-GB"/>
              </w:rPr>
            </w:pPr>
            <w:r w:rsidRPr="00962376">
              <w:rPr>
                <w:b/>
                <w:lang w:val="en-GB"/>
              </w:rPr>
              <w:t>Mean</w:t>
            </w:r>
          </w:p>
        </w:tc>
        <w:tc>
          <w:tcPr>
            <w:tcW w:w="1016" w:type="pct"/>
            <w:tcBorders>
              <w:bottom w:val="single" w:sz="4" w:space="0" w:color="auto"/>
            </w:tcBorders>
            <w:shd w:val="clear" w:color="auto" w:fill="auto"/>
            <w:vAlign w:val="center"/>
          </w:tcPr>
          <w:p w14:paraId="6BD0B047" w14:textId="77777777" w:rsidR="0051780C" w:rsidRPr="00962376" w:rsidRDefault="0051780C" w:rsidP="00A573C4">
            <w:pPr>
              <w:pStyle w:val="FSTableText"/>
              <w:jc w:val="center"/>
              <w:rPr>
                <w:b/>
                <w:lang w:val="en-GB"/>
              </w:rPr>
            </w:pPr>
            <w:r w:rsidRPr="00962376">
              <w:rPr>
                <w:b/>
                <w:lang w:val="en-GB"/>
              </w:rPr>
              <w:t>P90</w:t>
            </w:r>
          </w:p>
        </w:tc>
      </w:tr>
      <w:tr w:rsidR="0051780C" w:rsidRPr="00552334" w14:paraId="7347C8B4" w14:textId="77777777" w:rsidTr="002166FB">
        <w:trPr>
          <w:trHeight w:val="397"/>
        </w:trPr>
        <w:tc>
          <w:tcPr>
            <w:tcW w:w="610" w:type="pct"/>
            <w:vMerge w:val="restart"/>
            <w:tcBorders>
              <w:top w:val="single" w:sz="4" w:space="0" w:color="auto"/>
              <w:bottom w:val="single" w:sz="4" w:space="0" w:color="auto"/>
            </w:tcBorders>
            <w:shd w:val="clear" w:color="auto" w:fill="auto"/>
            <w:vAlign w:val="center"/>
          </w:tcPr>
          <w:p w14:paraId="7BABE77D" w14:textId="77777777" w:rsidR="0051780C" w:rsidRPr="00962376" w:rsidRDefault="0051780C" w:rsidP="00A573C4">
            <w:pPr>
              <w:pStyle w:val="FSTableText"/>
              <w:rPr>
                <w:lang w:val="en-GB"/>
              </w:rPr>
            </w:pPr>
            <w:r w:rsidRPr="00962376">
              <w:rPr>
                <w:lang w:val="en-GB"/>
              </w:rPr>
              <w:t>2011-12 NNPAS</w:t>
            </w:r>
          </w:p>
        </w:tc>
        <w:tc>
          <w:tcPr>
            <w:tcW w:w="752" w:type="pct"/>
            <w:tcBorders>
              <w:top w:val="single" w:sz="4" w:space="0" w:color="auto"/>
            </w:tcBorders>
            <w:vAlign w:val="center"/>
          </w:tcPr>
          <w:p w14:paraId="0CDCA98A" w14:textId="77777777" w:rsidR="0051780C" w:rsidRPr="00962376" w:rsidRDefault="0051780C" w:rsidP="00A573C4">
            <w:pPr>
              <w:pStyle w:val="FSTableText"/>
              <w:rPr>
                <w:lang w:val="en-GB"/>
              </w:rPr>
            </w:pPr>
            <w:r w:rsidRPr="00962376">
              <w:rPr>
                <w:lang w:val="en-GB"/>
              </w:rPr>
              <w:t>2–4 years</w:t>
            </w:r>
          </w:p>
        </w:tc>
        <w:tc>
          <w:tcPr>
            <w:tcW w:w="769" w:type="pct"/>
            <w:tcBorders>
              <w:top w:val="single" w:sz="4" w:space="0" w:color="auto"/>
            </w:tcBorders>
            <w:vAlign w:val="center"/>
          </w:tcPr>
          <w:p w14:paraId="0860C1AB" w14:textId="77777777" w:rsidR="0051780C" w:rsidRPr="00962376" w:rsidRDefault="0051780C" w:rsidP="00A573C4">
            <w:pPr>
              <w:pStyle w:val="FSTableText"/>
              <w:jc w:val="center"/>
              <w:rPr>
                <w:lang w:val="en-GB"/>
              </w:rPr>
            </w:pPr>
            <w:r w:rsidRPr="00962376">
              <w:rPr>
                <w:lang w:val="en-GB" w:eastAsia="en-AU"/>
              </w:rPr>
              <w:t>0.5</w:t>
            </w:r>
          </w:p>
        </w:tc>
        <w:tc>
          <w:tcPr>
            <w:tcW w:w="837" w:type="pct"/>
            <w:tcBorders>
              <w:top w:val="single" w:sz="4" w:space="0" w:color="auto"/>
            </w:tcBorders>
            <w:vAlign w:val="center"/>
          </w:tcPr>
          <w:p w14:paraId="02F268E2" w14:textId="77777777" w:rsidR="0051780C" w:rsidRPr="00962376" w:rsidRDefault="0051780C" w:rsidP="00A573C4">
            <w:pPr>
              <w:pStyle w:val="FSTableText"/>
              <w:jc w:val="center"/>
              <w:rPr>
                <w:lang w:val="en-GB"/>
              </w:rPr>
            </w:pPr>
            <w:r w:rsidRPr="00962376">
              <w:rPr>
                <w:lang w:val="en-GB" w:eastAsia="en-AU"/>
              </w:rPr>
              <w:t>0.8</w:t>
            </w:r>
          </w:p>
        </w:tc>
        <w:tc>
          <w:tcPr>
            <w:tcW w:w="1016" w:type="pct"/>
            <w:tcBorders>
              <w:top w:val="single" w:sz="4" w:space="0" w:color="auto"/>
            </w:tcBorders>
            <w:vAlign w:val="center"/>
          </w:tcPr>
          <w:p w14:paraId="28AE5C94" w14:textId="77777777" w:rsidR="0051780C" w:rsidRPr="00962376" w:rsidRDefault="0051780C" w:rsidP="00A573C4">
            <w:pPr>
              <w:pStyle w:val="FSTableText"/>
              <w:jc w:val="center"/>
              <w:rPr>
                <w:lang w:val="en-GB"/>
              </w:rPr>
            </w:pPr>
            <w:r w:rsidRPr="00962376">
              <w:rPr>
                <w:lang w:val="en-GB"/>
              </w:rPr>
              <w:t>2.7</w:t>
            </w:r>
          </w:p>
        </w:tc>
        <w:tc>
          <w:tcPr>
            <w:tcW w:w="1016" w:type="pct"/>
            <w:tcBorders>
              <w:top w:val="single" w:sz="4" w:space="0" w:color="auto"/>
            </w:tcBorders>
            <w:shd w:val="clear" w:color="auto" w:fill="auto"/>
            <w:vAlign w:val="center"/>
          </w:tcPr>
          <w:p w14:paraId="44224F44" w14:textId="77777777" w:rsidR="0051780C" w:rsidRPr="00962376" w:rsidRDefault="0051780C" w:rsidP="00A573C4">
            <w:pPr>
              <w:pStyle w:val="FSTableText"/>
              <w:jc w:val="center"/>
              <w:rPr>
                <w:lang w:val="en-GB"/>
              </w:rPr>
            </w:pPr>
            <w:r w:rsidRPr="00962376">
              <w:rPr>
                <w:lang w:val="en-GB"/>
              </w:rPr>
              <w:t>3.0</w:t>
            </w:r>
          </w:p>
        </w:tc>
      </w:tr>
      <w:tr w:rsidR="0051780C" w:rsidRPr="00552334" w14:paraId="73568741" w14:textId="77777777" w:rsidTr="002166FB">
        <w:trPr>
          <w:trHeight w:val="397"/>
        </w:trPr>
        <w:tc>
          <w:tcPr>
            <w:tcW w:w="610" w:type="pct"/>
            <w:vMerge/>
            <w:tcBorders>
              <w:bottom w:val="single" w:sz="4" w:space="0" w:color="auto"/>
            </w:tcBorders>
            <w:shd w:val="clear" w:color="auto" w:fill="auto"/>
            <w:vAlign w:val="center"/>
          </w:tcPr>
          <w:p w14:paraId="23EB9BE7" w14:textId="77777777" w:rsidR="0051780C" w:rsidRPr="00962376" w:rsidRDefault="0051780C" w:rsidP="00A573C4">
            <w:pPr>
              <w:pStyle w:val="FSTableText"/>
              <w:rPr>
                <w:lang w:val="en-GB"/>
              </w:rPr>
            </w:pPr>
          </w:p>
        </w:tc>
        <w:tc>
          <w:tcPr>
            <w:tcW w:w="752" w:type="pct"/>
            <w:vAlign w:val="center"/>
          </w:tcPr>
          <w:p w14:paraId="20C89FCC" w14:textId="77777777" w:rsidR="0051780C" w:rsidRPr="00962376" w:rsidRDefault="0051780C" w:rsidP="00A573C4">
            <w:pPr>
              <w:pStyle w:val="FSTableText"/>
              <w:rPr>
                <w:lang w:val="en-GB"/>
              </w:rPr>
            </w:pPr>
            <w:r w:rsidRPr="00962376">
              <w:rPr>
                <w:lang w:val="en-GB"/>
              </w:rPr>
              <w:t>5–12 years</w:t>
            </w:r>
          </w:p>
        </w:tc>
        <w:tc>
          <w:tcPr>
            <w:tcW w:w="769" w:type="pct"/>
            <w:vAlign w:val="center"/>
          </w:tcPr>
          <w:p w14:paraId="4BA71566" w14:textId="77777777" w:rsidR="0051780C" w:rsidRPr="00962376" w:rsidRDefault="0051780C" w:rsidP="00A573C4">
            <w:pPr>
              <w:pStyle w:val="FSTableText"/>
              <w:jc w:val="center"/>
              <w:rPr>
                <w:lang w:val="en-GB"/>
              </w:rPr>
            </w:pPr>
            <w:r w:rsidRPr="00962376">
              <w:rPr>
                <w:lang w:val="en-GB" w:eastAsia="en-AU"/>
              </w:rPr>
              <w:t>1.2</w:t>
            </w:r>
          </w:p>
        </w:tc>
        <w:tc>
          <w:tcPr>
            <w:tcW w:w="837" w:type="pct"/>
            <w:vAlign w:val="center"/>
          </w:tcPr>
          <w:p w14:paraId="63ECBE0C" w14:textId="77777777" w:rsidR="0051780C" w:rsidRPr="00962376" w:rsidRDefault="0051780C" w:rsidP="00A573C4">
            <w:pPr>
              <w:pStyle w:val="FSTableText"/>
              <w:jc w:val="center"/>
              <w:rPr>
                <w:lang w:val="en-GB"/>
              </w:rPr>
            </w:pPr>
            <w:r w:rsidRPr="00962376">
              <w:rPr>
                <w:lang w:val="en-GB" w:eastAsia="en-AU"/>
              </w:rPr>
              <w:t>2.9</w:t>
            </w:r>
          </w:p>
        </w:tc>
        <w:tc>
          <w:tcPr>
            <w:tcW w:w="1016" w:type="pct"/>
            <w:vAlign w:val="center"/>
          </w:tcPr>
          <w:p w14:paraId="0C43C3F4" w14:textId="77777777" w:rsidR="0051780C" w:rsidRPr="00962376" w:rsidRDefault="0051780C" w:rsidP="00A573C4">
            <w:pPr>
              <w:pStyle w:val="FSTableText"/>
              <w:jc w:val="center"/>
              <w:rPr>
                <w:lang w:val="en-GB"/>
              </w:rPr>
            </w:pPr>
            <w:r w:rsidRPr="00962376">
              <w:rPr>
                <w:lang w:val="en-GB"/>
              </w:rPr>
              <w:t>3.4</w:t>
            </w:r>
          </w:p>
        </w:tc>
        <w:tc>
          <w:tcPr>
            <w:tcW w:w="1016" w:type="pct"/>
            <w:shd w:val="clear" w:color="auto" w:fill="auto"/>
            <w:vAlign w:val="center"/>
          </w:tcPr>
          <w:p w14:paraId="1EC12935" w14:textId="77777777" w:rsidR="0051780C" w:rsidRPr="00962376" w:rsidRDefault="0051780C" w:rsidP="00A573C4">
            <w:pPr>
              <w:pStyle w:val="FSTableText"/>
              <w:jc w:val="center"/>
              <w:rPr>
                <w:lang w:val="en-GB"/>
              </w:rPr>
            </w:pPr>
            <w:r w:rsidRPr="00962376">
              <w:rPr>
                <w:lang w:val="en-GB"/>
              </w:rPr>
              <w:t>5.1</w:t>
            </w:r>
          </w:p>
        </w:tc>
      </w:tr>
      <w:tr w:rsidR="0051780C" w:rsidRPr="00552334" w14:paraId="706B2743" w14:textId="77777777" w:rsidTr="002166FB">
        <w:trPr>
          <w:trHeight w:val="397"/>
        </w:trPr>
        <w:tc>
          <w:tcPr>
            <w:tcW w:w="610" w:type="pct"/>
            <w:vMerge/>
            <w:tcBorders>
              <w:bottom w:val="single" w:sz="4" w:space="0" w:color="auto"/>
            </w:tcBorders>
            <w:shd w:val="clear" w:color="auto" w:fill="auto"/>
            <w:vAlign w:val="center"/>
          </w:tcPr>
          <w:p w14:paraId="598FC0DF" w14:textId="77777777" w:rsidR="0051780C" w:rsidRPr="00962376" w:rsidRDefault="0051780C" w:rsidP="00A573C4">
            <w:pPr>
              <w:pStyle w:val="FSTableText"/>
              <w:rPr>
                <w:lang w:val="en-GB"/>
              </w:rPr>
            </w:pPr>
          </w:p>
        </w:tc>
        <w:tc>
          <w:tcPr>
            <w:tcW w:w="752" w:type="pct"/>
            <w:vAlign w:val="center"/>
          </w:tcPr>
          <w:p w14:paraId="7AE71961" w14:textId="77777777" w:rsidR="0051780C" w:rsidRPr="00962376" w:rsidRDefault="0051780C" w:rsidP="00A573C4">
            <w:pPr>
              <w:pStyle w:val="FSTableText"/>
              <w:rPr>
                <w:lang w:val="en-GB"/>
              </w:rPr>
            </w:pPr>
            <w:r w:rsidRPr="00962376">
              <w:rPr>
                <w:lang w:val="en-GB"/>
              </w:rPr>
              <w:t>13–17 years</w:t>
            </w:r>
          </w:p>
        </w:tc>
        <w:tc>
          <w:tcPr>
            <w:tcW w:w="769" w:type="pct"/>
            <w:vAlign w:val="center"/>
          </w:tcPr>
          <w:p w14:paraId="0EC58D6F" w14:textId="77777777" w:rsidR="0051780C" w:rsidRPr="00962376" w:rsidRDefault="0051780C" w:rsidP="00A573C4">
            <w:pPr>
              <w:pStyle w:val="FSTableText"/>
              <w:jc w:val="center"/>
              <w:rPr>
                <w:lang w:val="en-GB"/>
              </w:rPr>
            </w:pPr>
            <w:r w:rsidRPr="00962376">
              <w:rPr>
                <w:lang w:val="en-GB" w:eastAsia="en-AU"/>
              </w:rPr>
              <w:t>1.4</w:t>
            </w:r>
          </w:p>
        </w:tc>
        <w:tc>
          <w:tcPr>
            <w:tcW w:w="837" w:type="pct"/>
            <w:vAlign w:val="center"/>
          </w:tcPr>
          <w:p w14:paraId="4BCFA414" w14:textId="77777777" w:rsidR="0051780C" w:rsidRPr="00962376" w:rsidRDefault="0051780C" w:rsidP="00A573C4">
            <w:pPr>
              <w:pStyle w:val="FSTableText"/>
              <w:jc w:val="center"/>
              <w:rPr>
                <w:lang w:val="en-GB"/>
              </w:rPr>
            </w:pPr>
            <w:r w:rsidRPr="00962376">
              <w:rPr>
                <w:lang w:val="en-GB" w:eastAsia="en-AU"/>
              </w:rPr>
              <w:t>2.7</w:t>
            </w:r>
          </w:p>
        </w:tc>
        <w:tc>
          <w:tcPr>
            <w:tcW w:w="1016" w:type="pct"/>
            <w:vAlign w:val="center"/>
          </w:tcPr>
          <w:p w14:paraId="77D67B6A" w14:textId="77777777" w:rsidR="0051780C" w:rsidRPr="00962376" w:rsidRDefault="0051780C" w:rsidP="00A573C4">
            <w:pPr>
              <w:pStyle w:val="FSTableText"/>
              <w:jc w:val="center"/>
              <w:rPr>
                <w:lang w:val="en-GB"/>
              </w:rPr>
            </w:pPr>
            <w:r w:rsidRPr="00962376">
              <w:rPr>
                <w:lang w:val="en-GB"/>
              </w:rPr>
              <w:t>3.6</w:t>
            </w:r>
          </w:p>
        </w:tc>
        <w:tc>
          <w:tcPr>
            <w:tcW w:w="1016" w:type="pct"/>
            <w:shd w:val="clear" w:color="auto" w:fill="auto"/>
            <w:vAlign w:val="center"/>
          </w:tcPr>
          <w:p w14:paraId="7A497DC7" w14:textId="77777777" w:rsidR="0051780C" w:rsidRPr="00962376" w:rsidRDefault="0051780C" w:rsidP="00A573C4">
            <w:pPr>
              <w:pStyle w:val="FSTableText"/>
              <w:jc w:val="center"/>
              <w:rPr>
                <w:lang w:val="en-GB"/>
              </w:rPr>
            </w:pPr>
            <w:r w:rsidRPr="00962376">
              <w:rPr>
                <w:lang w:val="en-GB"/>
              </w:rPr>
              <w:t>4.9</w:t>
            </w:r>
          </w:p>
        </w:tc>
      </w:tr>
      <w:tr w:rsidR="0051780C" w:rsidRPr="00552334" w14:paraId="598AE1A5" w14:textId="77777777" w:rsidTr="002166FB">
        <w:trPr>
          <w:trHeight w:val="397"/>
        </w:trPr>
        <w:tc>
          <w:tcPr>
            <w:tcW w:w="610" w:type="pct"/>
            <w:vMerge/>
            <w:tcBorders>
              <w:bottom w:val="single" w:sz="4" w:space="0" w:color="auto"/>
            </w:tcBorders>
            <w:shd w:val="clear" w:color="auto" w:fill="auto"/>
            <w:vAlign w:val="center"/>
          </w:tcPr>
          <w:p w14:paraId="59CE2BCD" w14:textId="77777777" w:rsidR="0051780C" w:rsidRPr="00CE0A18" w:rsidRDefault="0051780C" w:rsidP="00A573C4">
            <w:pPr>
              <w:pStyle w:val="FSTableText"/>
              <w:rPr>
                <w:lang w:val="en-GB"/>
              </w:rPr>
            </w:pPr>
          </w:p>
        </w:tc>
        <w:tc>
          <w:tcPr>
            <w:tcW w:w="752" w:type="pct"/>
            <w:vAlign w:val="center"/>
          </w:tcPr>
          <w:p w14:paraId="5573380E" w14:textId="77777777" w:rsidR="0051780C" w:rsidRPr="00CE0A18" w:rsidRDefault="0051780C" w:rsidP="00A573C4">
            <w:pPr>
              <w:pStyle w:val="FSTableText"/>
              <w:rPr>
                <w:lang w:val="en-GB"/>
              </w:rPr>
            </w:pPr>
            <w:r w:rsidRPr="00CE0A18">
              <w:rPr>
                <w:lang w:val="en-GB"/>
              </w:rPr>
              <w:t>18–44 years</w:t>
            </w:r>
          </w:p>
        </w:tc>
        <w:tc>
          <w:tcPr>
            <w:tcW w:w="769" w:type="pct"/>
            <w:vAlign w:val="center"/>
          </w:tcPr>
          <w:p w14:paraId="403A5018" w14:textId="77777777" w:rsidR="0051780C" w:rsidRPr="00CE0A18" w:rsidRDefault="0051780C" w:rsidP="00A573C4">
            <w:pPr>
              <w:pStyle w:val="FSTableText"/>
              <w:jc w:val="center"/>
              <w:rPr>
                <w:lang w:val="en-GB"/>
              </w:rPr>
            </w:pPr>
            <w:r w:rsidRPr="00CE0A18">
              <w:rPr>
                <w:lang w:val="en-GB" w:eastAsia="en-AU"/>
              </w:rPr>
              <w:t>0.7</w:t>
            </w:r>
          </w:p>
        </w:tc>
        <w:tc>
          <w:tcPr>
            <w:tcW w:w="837" w:type="pct"/>
            <w:vAlign w:val="center"/>
          </w:tcPr>
          <w:p w14:paraId="181F8ED9" w14:textId="77777777" w:rsidR="0051780C" w:rsidRPr="00CE0A18" w:rsidRDefault="0051780C" w:rsidP="00A573C4">
            <w:pPr>
              <w:pStyle w:val="FSTableText"/>
              <w:jc w:val="center"/>
              <w:rPr>
                <w:lang w:val="en-GB"/>
              </w:rPr>
            </w:pPr>
            <w:r w:rsidRPr="00CE0A18">
              <w:rPr>
                <w:lang w:val="en-GB" w:eastAsia="en-AU"/>
              </w:rPr>
              <w:t>1.6</w:t>
            </w:r>
          </w:p>
        </w:tc>
        <w:tc>
          <w:tcPr>
            <w:tcW w:w="1016" w:type="pct"/>
            <w:vAlign w:val="center"/>
          </w:tcPr>
          <w:p w14:paraId="0DB7E46A" w14:textId="77777777" w:rsidR="0051780C" w:rsidRPr="00CE0A18" w:rsidRDefault="0051780C" w:rsidP="00A573C4">
            <w:pPr>
              <w:pStyle w:val="FSTableText"/>
              <w:jc w:val="center"/>
              <w:rPr>
                <w:lang w:val="en-GB"/>
              </w:rPr>
            </w:pPr>
            <w:r w:rsidRPr="00CE0A18">
              <w:rPr>
                <w:lang w:val="en-GB"/>
              </w:rPr>
              <w:t>2.9</w:t>
            </w:r>
          </w:p>
        </w:tc>
        <w:tc>
          <w:tcPr>
            <w:tcW w:w="1016" w:type="pct"/>
            <w:shd w:val="clear" w:color="auto" w:fill="auto"/>
            <w:vAlign w:val="center"/>
          </w:tcPr>
          <w:p w14:paraId="62C27838" w14:textId="77777777" w:rsidR="0051780C" w:rsidRPr="00CE0A18" w:rsidRDefault="0051780C" w:rsidP="00A573C4">
            <w:pPr>
              <w:pStyle w:val="FSTableText"/>
              <w:jc w:val="center"/>
              <w:rPr>
                <w:lang w:val="en-GB"/>
              </w:rPr>
            </w:pPr>
            <w:r w:rsidRPr="00CE0A18">
              <w:rPr>
                <w:lang w:val="en-GB"/>
              </w:rPr>
              <w:t>3.8</w:t>
            </w:r>
          </w:p>
        </w:tc>
      </w:tr>
      <w:tr w:rsidR="0051780C" w:rsidRPr="00552334" w14:paraId="054A9980" w14:textId="77777777" w:rsidTr="002166FB">
        <w:trPr>
          <w:trHeight w:val="397"/>
        </w:trPr>
        <w:tc>
          <w:tcPr>
            <w:tcW w:w="610" w:type="pct"/>
            <w:vMerge/>
            <w:tcBorders>
              <w:bottom w:val="single" w:sz="4" w:space="0" w:color="auto"/>
            </w:tcBorders>
            <w:shd w:val="clear" w:color="auto" w:fill="auto"/>
            <w:vAlign w:val="center"/>
          </w:tcPr>
          <w:p w14:paraId="3FFF66F6" w14:textId="77777777" w:rsidR="0051780C" w:rsidRPr="00CE0A18" w:rsidRDefault="0051780C" w:rsidP="00A573C4">
            <w:pPr>
              <w:pStyle w:val="FSTableText"/>
              <w:rPr>
                <w:lang w:val="en-GB"/>
              </w:rPr>
            </w:pPr>
          </w:p>
        </w:tc>
        <w:tc>
          <w:tcPr>
            <w:tcW w:w="752" w:type="pct"/>
            <w:vAlign w:val="center"/>
          </w:tcPr>
          <w:p w14:paraId="441DB40C" w14:textId="77777777" w:rsidR="0051780C" w:rsidRPr="00CE0A18" w:rsidRDefault="0051780C" w:rsidP="00A573C4">
            <w:pPr>
              <w:pStyle w:val="FSTableText"/>
              <w:rPr>
                <w:lang w:val="en-GB"/>
              </w:rPr>
            </w:pPr>
            <w:r w:rsidRPr="00CE0A18">
              <w:rPr>
                <w:lang w:val="en-GB"/>
              </w:rPr>
              <w:t>45+ years</w:t>
            </w:r>
          </w:p>
        </w:tc>
        <w:tc>
          <w:tcPr>
            <w:tcW w:w="769" w:type="pct"/>
            <w:vAlign w:val="center"/>
          </w:tcPr>
          <w:p w14:paraId="4291118B" w14:textId="77777777" w:rsidR="0051780C" w:rsidRPr="00CE0A18" w:rsidRDefault="0051780C" w:rsidP="00A573C4">
            <w:pPr>
              <w:pStyle w:val="FSTableText"/>
              <w:jc w:val="center"/>
              <w:rPr>
                <w:lang w:val="en-GB"/>
              </w:rPr>
            </w:pPr>
            <w:r w:rsidRPr="00CE0A18">
              <w:rPr>
                <w:lang w:val="en-GB" w:eastAsia="en-AU"/>
              </w:rPr>
              <w:t>0.9</w:t>
            </w:r>
          </w:p>
        </w:tc>
        <w:tc>
          <w:tcPr>
            <w:tcW w:w="837" w:type="pct"/>
            <w:vAlign w:val="center"/>
          </w:tcPr>
          <w:p w14:paraId="525ACB86" w14:textId="77777777" w:rsidR="0051780C" w:rsidRPr="00CE0A18" w:rsidRDefault="0051780C" w:rsidP="00A573C4">
            <w:pPr>
              <w:pStyle w:val="FSTableText"/>
              <w:jc w:val="center"/>
              <w:rPr>
                <w:lang w:val="en-GB"/>
              </w:rPr>
            </w:pPr>
            <w:r w:rsidRPr="00CE0A18">
              <w:rPr>
                <w:lang w:val="en-GB" w:eastAsia="en-AU"/>
              </w:rPr>
              <w:t>2.0</w:t>
            </w:r>
          </w:p>
        </w:tc>
        <w:tc>
          <w:tcPr>
            <w:tcW w:w="1016" w:type="pct"/>
            <w:vAlign w:val="center"/>
          </w:tcPr>
          <w:p w14:paraId="003EBF35" w14:textId="77777777" w:rsidR="0051780C" w:rsidRPr="00CE0A18" w:rsidRDefault="0051780C" w:rsidP="00A573C4">
            <w:pPr>
              <w:pStyle w:val="FSTableText"/>
              <w:jc w:val="center"/>
              <w:rPr>
                <w:lang w:val="en-GB"/>
              </w:rPr>
            </w:pPr>
            <w:r w:rsidRPr="00CE0A18">
              <w:rPr>
                <w:lang w:val="en-GB"/>
              </w:rPr>
              <w:t>3.1</w:t>
            </w:r>
          </w:p>
        </w:tc>
        <w:tc>
          <w:tcPr>
            <w:tcW w:w="1016" w:type="pct"/>
            <w:shd w:val="clear" w:color="auto" w:fill="auto"/>
            <w:vAlign w:val="center"/>
          </w:tcPr>
          <w:p w14:paraId="0239FA79" w14:textId="77777777" w:rsidR="0051780C" w:rsidRPr="00CE0A18" w:rsidRDefault="0051780C" w:rsidP="00A573C4">
            <w:pPr>
              <w:pStyle w:val="FSTableText"/>
              <w:jc w:val="center"/>
              <w:rPr>
                <w:lang w:val="en-GB"/>
              </w:rPr>
            </w:pPr>
            <w:r w:rsidRPr="00CE0A18">
              <w:rPr>
                <w:lang w:val="en-GB"/>
              </w:rPr>
              <w:t>4.2</w:t>
            </w:r>
          </w:p>
        </w:tc>
      </w:tr>
      <w:tr w:rsidR="0051780C" w:rsidRPr="00552334" w14:paraId="7BE4AF1A" w14:textId="77777777" w:rsidTr="002166FB">
        <w:trPr>
          <w:trHeight w:val="397"/>
        </w:trPr>
        <w:tc>
          <w:tcPr>
            <w:tcW w:w="610" w:type="pct"/>
            <w:vMerge/>
            <w:tcBorders>
              <w:bottom w:val="single" w:sz="4" w:space="0" w:color="auto"/>
            </w:tcBorders>
            <w:shd w:val="clear" w:color="auto" w:fill="auto"/>
            <w:vAlign w:val="center"/>
          </w:tcPr>
          <w:p w14:paraId="19EF856E" w14:textId="77777777" w:rsidR="0051780C" w:rsidRPr="00F0687E" w:rsidRDefault="0051780C" w:rsidP="00A573C4">
            <w:pPr>
              <w:pStyle w:val="FSTableText"/>
              <w:rPr>
                <w:lang w:val="en-GB"/>
              </w:rPr>
            </w:pPr>
          </w:p>
        </w:tc>
        <w:tc>
          <w:tcPr>
            <w:tcW w:w="752" w:type="pct"/>
            <w:tcBorders>
              <w:bottom w:val="single" w:sz="4" w:space="0" w:color="auto"/>
            </w:tcBorders>
            <w:vAlign w:val="center"/>
          </w:tcPr>
          <w:p w14:paraId="14DE7A8F" w14:textId="77777777" w:rsidR="0051780C" w:rsidRPr="00F0687E" w:rsidRDefault="0051780C" w:rsidP="00A573C4">
            <w:pPr>
              <w:pStyle w:val="FSTableText"/>
              <w:rPr>
                <w:lang w:val="en-GB"/>
              </w:rPr>
            </w:pPr>
            <w:r w:rsidRPr="00F0687E">
              <w:rPr>
                <w:lang w:val="en-GB"/>
              </w:rPr>
              <w:t>2+ years</w:t>
            </w:r>
          </w:p>
          <w:p w14:paraId="36107483" w14:textId="77777777" w:rsidR="0051780C" w:rsidRPr="00F0687E" w:rsidRDefault="0051780C" w:rsidP="00A573C4">
            <w:pPr>
              <w:pStyle w:val="FSTableText"/>
              <w:rPr>
                <w:lang w:val="en-GB"/>
              </w:rPr>
            </w:pPr>
            <w:r w:rsidRPr="00F0687E">
              <w:rPr>
                <w:lang w:val="en-GB"/>
              </w:rPr>
              <w:t>(all ages)</w:t>
            </w:r>
          </w:p>
        </w:tc>
        <w:tc>
          <w:tcPr>
            <w:tcW w:w="769" w:type="pct"/>
            <w:tcBorders>
              <w:bottom w:val="single" w:sz="4" w:space="0" w:color="auto"/>
            </w:tcBorders>
            <w:vAlign w:val="center"/>
          </w:tcPr>
          <w:p w14:paraId="30529C65" w14:textId="77777777" w:rsidR="0051780C" w:rsidRPr="00F0687E" w:rsidRDefault="0051780C" w:rsidP="00A573C4">
            <w:pPr>
              <w:pStyle w:val="FSTableText"/>
              <w:jc w:val="center"/>
              <w:rPr>
                <w:lang w:val="en-GB"/>
              </w:rPr>
            </w:pPr>
            <w:r w:rsidRPr="00F0687E">
              <w:rPr>
                <w:lang w:val="en-GB" w:eastAsia="en-AU"/>
              </w:rPr>
              <w:t>0.9</w:t>
            </w:r>
          </w:p>
        </w:tc>
        <w:tc>
          <w:tcPr>
            <w:tcW w:w="837" w:type="pct"/>
            <w:tcBorders>
              <w:bottom w:val="single" w:sz="4" w:space="0" w:color="auto"/>
            </w:tcBorders>
            <w:vAlign w:val="center"/>
          </w:tcPr>
          <w:p w14:paraId="6C46A5E8" w14:textId="77777777" w:rsidR="0051780C" w:rsidRPr="00F0687E" w:rsidRDefault="0051780C" w:rsidP="00A573C4">
            <w:pPr>
              <w:pStyle w:val="FSTableText"/>
              <w:jc w:val="center"/>
              <w:rPr>
                <w:lang w:val="en-GB"/>
              </w:rPr>
            </w:pPr>
            <w:r w:rsidRPr="00F0687E">
              <w:rPr>
                <w:lang w:val="en-GB" w:eastAsia="en-AU"/>
              </w:rPr>
              <w:t>2.0</w:t>
            </w:r>
          </w:p>
        </w:tc>
        <w:tc>
          <w:tcPr>
            <w:tcW w:w="1016" w:type="pct"/>
            <w:tcBorders>
              <w:bottom w:val="single" w:sz="4" w:space="0" w:color="auto"/>
            </w:tcBorders>
            <w:vAlign w:val="center"/>
          </w:tcPr>
          <w:p w14:paraId="6D579F9A" w14:textId="77777777" w:rsidR="0051780C" w:rsidRPr="00F0687E" w:rsidRDefault="0051780C" w:rsidP="00A573C4">
            <w:pPr>
              <w:pStyle w:val="FSTableText"/>
              <w:jc w:val="center"/>
              <w:rPr>
                <w:lang w:val="en-GB"/>
              </w:rPr>
            </w:pPr>
            <w:r w:rsidRPr="00F0687E">
              <w:rPr>
                <w:lang w:val="en-GB"/>
              </w:rPr>
              <w:t>3.1</w:t>
            </w:r>
          </w:p>
        </w:tc>
        <w:tc>
          <w:tcPr>
            <w:tcW w:w="1016" w:type="pct"/>
            <w:tcBorders>
              <w:bottom w:val="single" w:sz="4" w:space="0" w:color="auto"/>
            </w:tcBorders>
            <w:shd w:val="clear" w:color="auto" w:fill="auto"/>
            <w:vAlign w:val="center"/>
          </w:tcPr>
          <w:p w14:paraId="5592CD8E" w14:textId="77777777" w:rsidR="0051780C" w:rsidRPr="00F0687E" w:rsidRDefault="0051780C" w:rsidP="00A573C4">
            <w:pPr>
              <w:pStyle w:val="FSTableText"/>
              <w:jc w:val="center"/>
              <w:rPr>
                <w:lang w:val="en-GB"/>
              </w:rPr>
            </w:pPr>
            <w:r w:rsidRPr="00F0687E">
              <w:rPr>
                <w:lang w:val="en-GB"/>
              </w:rPr>
              <w:t>4.2</w:t>
            </w:r>
          </w:p>
        </w:tc>
      </w:tr>
      <w:tr w:rsidR="0051780C" w:rsidRPr="00552334" w14:paraId="27BEEA20" w14:textId="77777777" w:rsidTr="002166FB">
        <w:trPr>
          <w:trHeight w:val="397"/>
        </w:trPr>
        <w:tc>
          <w:tcPr>
            <w:tcW w:w="610" w:type="pct"/>
            <w:vMerge w:val="restart"/>
            <w:tcBorders>
              <w:top w:val="single" w:sz="4" w:space="0" w:color="auto"/>
              <w:bottom w:val="single" w:sz="4" w:space="0" w:color="auto"/>
            </w:tcBorders>
            <w:shd w:val="clear" w:color="auto" w:fill="auto"/>
            <w:vAlign w:val="center"/>
            <w:hideMark/>
          </w:tcPr>
          <w:p w14:paraId="0F1E7594" w14:textId="77777777" w:rsidR="0051780C" w:rsidRPr="00F0687E" w:rsidRDefault="0051780C" w:rsidP="00724D8F">
            <w:pPr>
              <w:pStyle w:val="FSTableText"/>
              <w:pageBreakBefore/>
              <w:rPr>
                <w:lang w:val="en-GB"/>
              </w:rPr>
            </w:pPr>
            <w:r w:rsidRPr="00F0687E">
              <w:rPr>
                <w:lang w:val="en-GB"/>
              </w:rPr>
              <w:lastRenderedPageBreak/>
              <w:t>2008 NZ ANS</w:t>
            </w:r>
          </w:p>
        </w:tc>
        <w:tc>
          <w:tcPr>
            <w:tcW w:w="752" w:type="pct"/>
            <w:tcBorders>
              <w:top w:val="single" w:sz="4" w:space="0" w:color="auto"/>
            </w:tcBorders>
            <w:vAlign w:val="center"/>
          </w:tcPr>
          <w:p w14:paraId="1E916F48" w14:textId="77777777" w:rsidR="0051780C" w:rsidRPr="00F0687E" w:rsidRDefault="0051780C" w:rsidP="00A573C4">
            <w:pPr>
              <w:pStyle w:val="FSTableText"/>
              <w:rPr>
                <w:lang w:val="en-GB"/>
              </w:rPr>
            </w:pPr>
            <w:r w:rsidRPr="00F0687E">
              <w:rPr>
                <w:lang w:val="en-GB"/>
              </w:rPr>
              <w:t>15–17 years</w:t>
            </w:r>
          </w:p>
        </w:tc>
        <w:tc>
          <w:tcPr>
            <w:tcW w:w="769" w:type="pct"/>
            <w:tcBorders>
              <w:top w:val="single" w:sz="4" w:space="0" w:color="auto"/>
            </w:tcBorders>
            <w:vAlign w:val="center"/>
          </w:tcPr>
          <w:p w14:paraId="4C66DFB1" w14:textId="77777777" w:rsidR="0051780C" w:rsidRPr="00F0687E" w:rsidRDefault="0051780C" w:rsidP="00A573C4">
            <w:pPr>
              <w:pStyle w:val="FSTableText"/>
              <w:jc w:val="center"/>
              <w:rPr>
                <w:lang w:val="en-GB"/>
              </w:rPr>
            </w:pPr>
            <w:r w:rsidRPr="00F0687E">
              <w:rPr>
                <w:lang w:val="en-GB" w:eastAsia="en-AU"/>
              </w:rPr>
              <w:t>1.8</w:t>
            </w:r>
          </w:p>
        </w:tc>
        <w:tc>
          <w:tcPr>
            <w:tcW w:w="837" w:type="pct"/>
            <w:tcBorders>
              <w:top w:val="single" w:sz="4" w:space="0" w:color="auto"/>
            </w:tcBorders>
            <w:vAlign w:val="center"/>
          </w:tcPr>
          <w:p w14:paraId="21A06E88" w14:textId="77777777" w:rsidR="0051780C" w:rsidRPr="00F0687E" w:rsidRDefault="0051780C" w:rsidP="00A573C4">
            <w:pPr>
              <w:pStyle w:val="FSTableText"/>
              <w:jc w:val="center"/>
              <w:rPr>
                <w:lang w:val="en-GB"/>
              </w:rPr>
            </w:pPr>
            <w:r w:rsidRPr="00F0687E">
              <w:rPr>
                <w:lang w:val="en-GB" w:eastAsia="en-AU"/>
              </w:rPr>
              <w:t>na</w:t>
            </w:r>
          </w:p>
        </w:tc>
        <w:tc>
          <w:tcPr>
            <w:tcW w:w="1016" w:type="pct"/>
            <w:tcBorders>
              <w:top w:val="single" w:sz="4" w:space="0" w:color="auto"/>
            </w:tcBorders>
            <w:vAlign w:val="center"/>
          </w:tcPr>
          <w:p w14:paraId="22BD1A18" w14:textId="77777777" w:rsidR="0051780C" w:rsidRPr="00F0687E" w:rsidRDefault="0051780C" w:rsidP="00A573C4">
            <w:pPr>
              <w:pStyle w:val="FSTableText"/>
              <w:jc w:val="center"/>
              <w:rPr>
                <w:lang w:val="en-GB"/>
              </w:rPr>
            </w:pPr>
            <w:r w:rsidRPr="00F0687E">
              <w:rPr>
                <w:lang w:val="en-GB"/>
              </w:rPr>
              <w:t>4.0</w:t>
            </w:r>
          </w:p>
        </w:tc>
        <w:tc>
          <w:tcPr>
            <w:tcW w:w="1016" w:type="pct"/>
            <w:tcBorders>
              <w:top w:val="single" w:sz="4" w:space="0" w:color="auto"/>
            </w:tcBorders>
            <w:shd w:val="clear" w:color="auto" w:fill="auto"/>
            <w:vAlign w:val="center"/>
          </w:tcPr>
          <w:p w14:paraId="4B9ED785" w14:textId="77777777" w:rsidR="0051780C" w:rsidRPr="00F0687E" w:rsidRDefault="0051780C" w:rsidP="00A573C4">
            <w:pPr>
              <w:pStyle w:val="FSTableText"/>
              <w:jc w:val="center"/>
              <w:rPr>
                <w:lang w:val="en-GB"/>
              </w:rPr>
            </w:pPr>
            <w:r w:rsidRPr="00F0687E">
              <w:rPr>
                <w:lang w:val="en-GB" w:eastAsia="en-AU"/>
              </w:rPr>
              <w:t>na</w:t>
            </w:r>
          </w:p>
        </w:tc>
      </w:tr>
      <w:tr w:rsidR="0051780C" w:rsidRPr="00552334" w14:paraId="4564108A" w14:textId="77777777" w:rsidTr="002166FB">
        <w:trPr>
          <w:trHeight w:val="397"/>
        </w:trPr>
        <w:tc>
          <w:tcPr>
            <w:tcW w:w="610" w:type="pct"/>
            <w:vMerge/>
            <w:tcBorders>
              <w:bottom w:val="single" w:sz="4" w:space="0" w:color="auto"/>
            </w:tcBorders>
            <w:shd w:val="clear" w:color="auto" w:fill="auto"/>
            <w:vAlign w:val="center"/>
          </w:tcPr>
          <w:p w14:paraId="62289B2D" w14:textId="77777777" w:rsidR="0051780C" w:rsidRPr="00F0687E" w:rsidRDefault="0051780C" w:rsidP="00A573C4">
            <w:pPr>
              <w:pStyle w:val="FSTableText"/>
              <w:rPr>
                <w:lang w:val="en-GB"/>
              </w:rPr>
            </w:pPr>
          </w:p>
        </w:tc>
        <w:tc>
          <w:tcPr>
            <w:tcW w:w="752" w:type="pct"/>
            <w:vAlign w:val="center"/>
          </w:tcPr>
          <w:p w14:paraId="4AD5E71D" w14:textId="77777777" w:rsidR="0051780C" w:rsidRPr="00F0687E" w:rsidRDefault="0051780C" w:rsidP="00A573C4">
            <w:pPr>
              <w:pStyle w:val="FSTableText"/>
              <w:rPr>
                <w:lang w:val="en-GB"/>
              </w:rPr>
            </w:pPr>
            <w:r w:rsidRPr="00F0687E">
              <w:rPr>
                <w:lang w:val="en-GB"/>
              </w:rPr>
              <w:t>18–44 years</w:t>
            </w:r>
          </w:p>
        </w:tc>
        <w:tc>
          <w:tcPr>
            <w:tcW w:w="769" w:type="pct"/>
            <w:vAlign w:val="center"/>
          </w:tcPr>
          <w:p w14:paraId="0B100E3E" w14:textId="77777777" w:rsidR="0051780C" w:rsidRPr="00F0687E" w:rsidRDefault="0051780C" w:rsidP="00A573C4">
            <w:pPr>
              <w:pStyle w:val="FSTableText"/>
              <w:jc w:val="center"/>
              <w:rPr>
                <w:lang w:val="en-GB"/>
              </w:rPr>
            </w:pPr>
            <w:r w:rsidRPr="00F0687E">
              <w:rPr>
                <w:lang w:val="en-GB" w:eastAsia="en-AU"/>
              </w:rPr>
              <w:t>1.1</w:t>
            </w:r>
          </w:p>
        </w:tc>
        <w:tc>
          <w:tcPr>
            <w:tcW w:w="837" w:type="pct"/>
            <w:vAlign w:val="center"/>
          </w:tcPr>
          <w:p w14:paraId="01FF17AD" w14:textId="77777777" w:rsidR="0051780C" w:rsidRPr="00F0687E" w:rsidRDefault="0051780C" w:rsidP="00A573C4">
            <w:pPr>
              <w:pStyle w:val="FSTableText"/>
              <w:jc w:val="center"/>
              <w:rPr>
                <w:lang w:val="en-GB"/>
              </w:rPr>
            </w:pPr>
            <w:r w:rsidRPr="00F0687E">
              <w:rPr>
                <w:lang w:val="en-GB" w:eastAsia="en-AU"/>
              </w:rPr>
              <w:t>1.8</w:t>
            </w:r>
          </w:p>
        </w:tc>
        <w:tc>
          <w:tcPr>
            <w:tcW w:w="1016" w:type="pct"/>
            <w:vAlign w:val="center"/>
          </w:tcPr>
          <w:p w14:paraId="323BEF56" w14:textId="77777777" w:rsidR="0051780C" w:rsidRPr="00F0687E" w:rsidRDefault="0051780C" w:rsidP="00A573C4">
            <w:pPr>
              <w:pStyle w:val="FSTableText"/>
              <w:jc w:val="center"/>
              <w:rPr>
                <w:lang w:val="en-GB"/>
              </w:rPr>
            </w:pPr>
            <w:r w:rsidRPr="00F0687E">
              <w:rPr>
                <w:lang w:val="en-GB"/>
              </w:rPr>
              <w:t>3.3</w:t>
            </w:r>
          </w:p>
        </w:tc>
        <w:tc>
          <w:tcPr>
            <w:tcW w:w="1016" w:type="pct"/>
            <w:shd w:val="clear" w:color="auto" w:fill="auto"/>
            <w:vAlign w:val="center"/>
          </w:tcPr>
          <w:p w14:paraId="40598585" w14:textId="77777777" w:rsidR="0051780C" w:rsidRPr="00F0687E" w:rsidRDefault="0051780C" w:rsidP="00A573C4">
            <w:pPr>
              <w:pStyle w:val="FSTableText"/>
              <w:jc w:val="center"/>
              <w:rPr>
                <w:lang w:val="en-GB"/>
              </w:rPr>
            </w:pPr>
            <w:r w:rsidRPr="00F0687E">
              <w:rPr>
                <w:lang w:val="en-GB"/>
              </w:rPr>
              <w:t>4.0</w:t>
            </w:r>
          </w:p>
        </w:tc>
      </w:tr>
      <w:tr w:rsidR="0051780C" w:rsidRPr="00552334" w14:paraId="32DEE788" w14:textId="77777777" w:rsidTr="002166FB">
        <w:trPr>
          <w:trHeight w:val="397"/>
        </w:trPr>
        <w:tc>
          <w:tcPr>
            <w:tcW w:w="610" w:type="pct"/>
            <w:vMerge/>
            <w:tcBorders>
              <w:bottom w:val="single" w:sz="4" w:space="0" w:color="auto"/>
            </w:tcBorders>
            <w:shd w:val="clear" w:color="auto" w:fill="auto"/>
            <w:vAlign w:val="center"/>
          </w:tcPr>
          <w:p w14:paraId="2ADB5414" w14:textId="77777777" w:rsidR="0051780C" w:rsidRPr="00F0687E" w:rsidRDefault="0051780C" w:rsidP="00A573C4">
            <w:pPr>
              <w:pStyle w:val="FSTableText"/>
              <w:rPr>
                <w:lang w:val="en-GB"/>
              </w:rPr>
            </w:pPr>
          </w:p>
        </w:tc>
        <w:tc>
          <w:tcPr>
            <w:tcW w:w="752" w:type="pct"/>
            <w:vAlign w:val="center"/>
          </w:tcPr>
          <w:p w14:paraId="3B3543DB" w14:textId="77777777" w:rsidR="0051780C" w:rsidRPr="00F0687E" w:rsidRDefault="0051780C" w:rsidP="00A573C4">
            <w:pPr>
              <w:pStyle w:val="FSTableText"/>
              <w:rPr>
                <w:lang w:val="en-GB"/>
              </w:rPr>
            </w:pPr>
            <w:r w:rsidRPr="00F0687E">
              <w:rPr>
                <w:lang w:val="en-GB"/>
              </w:rPr>
              <w:t>45+ years</w:t>
            </w:r>
          </w:p>
        </w:tc>
        <w:tc>
          <w:tcPr>
            <w:tcW w:w="769" w:type="pct"/>
            <w:vAlign w:val="center"/>
          </w:tcPr>
          <w:p w14:paraId="0578F211" w14:textId="77777777" w:rsidR="0051780C" w:rsidRPr="00F0687E" w:rsidRDefault="0051780C" w:rsidP="00A573C4">
            <w:pPr>
              <w:pStyle w:val="FSTableText"/>
              <w:jc w:val="center"/>
              <w:rPr>
                <w:lang w:val="en-GB"/>
              </w:rPr>
            </w:pPr>
            <w:r w:rsidRPr="00F0687E">
              <w:rPr>
                <w:lang w:val="en-GB" w:eastAsia="en-AU"/>
              </w:rPr>
              <w:t>1.3</w:t>
            </w:r>
          </w:p>
        </w:tc>
        <w:tc>
          <w:tcPr>
            <w:tcW w:w="837" w:type="pct"/>
            <w:vAlign w:val="center"/>
          </w:tcPr>
          <w:p w14:paraId="0BEB30EC" w14:textId="77777777" w:rsidR="0051780C" w:rsidRPr="00F0687E" w:rsidRDefault="0051780C" w:rsidP="00A573C4">
            <w:pPr>
              <w:pStyle w:val="FSTableText"/>
              <w:jc w:val="center"/>
              <w:rPr>
                <w:lang w:val="en-GB"/>
              </w:rPr>
            </w:pPr>
            <w:r w:rsidRPr="00F0687E">
              <w:rPr>
                <w:lang w:val="en-GB" w:eastAsia="en-AU"/>
              </w:rPr>
              <w:t>2.6</w:t>
            </w:r>
          </w:p>
        </w:tc>
        <w:tc>
          <w:tcPr>
            <w:tcW w:w="1016" w:type="pct"/>
            <w:vAlign w:val="center"/>
          </w:tcPr>
          <w:p w14:paraId="58C090CB" w14:textId="77777777" w:rsidR="0051780C" w:rsidRPr="00F0687E" w:rsidRDefault="0051780C" w:rsidP="00A573C4">
            <w:pPr>
              <w:pStyle w:val="FSTableText"/>
              <w:jc w:val="center"/>
              <w:rPr>
                <w:lang w:val="en-GB"/>
              </w:rPr>
            </w:pPr>
            <w:r w:rsidRPr="00F0687E">
              <w:rPr>
                <w:lang w:val="en-GB"/>
              </w:rPr>
              <w:t>3.5</w:t>
            </w:r>
          </w:p>
        </w:tc>
        <w:tc>
          <w:tcPr>
            <w:tcW w:w="1016" w:type="pct"/>
            <w:shd w:val="clear" w:color="auto" w:fill="auto"/>
            <w:vAlign w:val="center"/>
          </w:tcPr>
          <w:p w14:paraId="6E7FAB63" w14:textId="77777777" w:rsidR="0051780C" w:rsidRPr="00F0687E" w:rsidRDefault="0051780C" w:rsidP="00A573C4">
            <w:pPr>
              <w:pStyle w:val="FSTableText"/>
              <w:jc w:val="center"/>
              <w:rPr>
                <w:lang w:val="en-GB"/>
              </w:rPr>
            </w:pPr>
            <w:r w:rsidRPr="00F0687E">
              <w:rPr>
                <w:lang w:val="en-GB"/>
              </w:rPr>
              <w:t>4.8</w:t>
            </w:r>
          </w:p>
        </w:tc>
      </w:tr>
      <w:tr w:rsidR="0051780C" w:rsidRPr="00552334" w14:paraId="635CF413" w14:textId="77777777" w:rsidTr="002166FB">
        <w:trPr>
          <w:trHeight w:val="397"/>
        </w:trPr>
        <w:tc>
          <w:tcPr>
            <w:tcW w:w="610" w:type="pct"/>
            <w:vMerge/>
            <w:tcBorders>
              <w:bottom w:val="single" w:sz="4" w:space="0" w:color="auto"/>
            </w:tcBorders>
            <w:shd w:val="clear" w:color="auto" w:fill="auto"/>
            <w:vAlign w:val="center"/>
          </w:tcPr>
          <w:p w14:paraId="2C651BE8" w14:textId="77777777" w:rsidR="0051780C" w:rsidRPr="00F0687E" w:rsidRDefault="0051780C" w:rsidP="00A573C4">
            <w:pPr>
              <w:pStyle w:val="FSTableText"/>
              <w:rPr>
                <w:lang w:val="en-GB"/>
              </w:rPr>
            </w:pPr>
          </w:p>
        </w:tc>
        <w:tc>
          <w:tcPr>
            <w:tcW w:w="752" w:type="pct"/>
            <w:tcBorders>
              <w:bottom w:val="single" w:sz="4" w:space="0" w:color="auto"/>
            </w:tcBorders>
            <w:vAlign w:val="center"/>
          </w:tcPr>
          <w:p w14:paraId="3DEC6268" w14:textId="77777777" w:rsidR="0051780C" w:rsidRPr="00F0687E" w:rsidRDefault="0051780C" w:rsidP="00A573C4">
            <w:pPr>
              <w:pStyle w:val="FSTableText"/>
              <w:rPr>
                <w:lang w:val="en-GB"/>
              </w:rPr>
            </w:pPr>
            <w:r w:rsidRPr="00F0687E">
              <w:rPr>
                <w:lang w:val="en-GB"/>
              </w:rPr>
              <w:t>15+ years</w:t>
            </w:r>
          </w:p>
          <w:p w14:paraId="3088026E" w14:textId="77777777" w:rsidR="0051780C" w:rsidRPr="00F0687E" w:rsidRDefault="0051780C" w:rsidP="00A573C4">
            <w:pPr>
              <w:pStyle w:val="FSTableText"/>
              <w:rPr>
                <w:lang w:val="en-GB"/>
              </w:rPr>
            </w:pPr>
            <w:r w:rsidRPr="00F0687E">
              <w:rPr>
                <w:lang w:val="en-GB"/>
              </w:rPr>
              <w:t xml:space="preserve">(all ages) </w:t>
            </w:r>
          </w:p>
        </w:tc>
        <w:tc>
          <w:tcPr>
            <w:tcW w:w="769" w:type="pct"/>
            <w:tcBorders>
              <w:bottom w:val="single" w:sz="4" w:space="0" w:color="auto"/>
            </w:tcBorders>
            <w:vAlign w:val="center"/>
          </w:tcPr>
          <w:p w14:paraId="6CD1F6D9" w14:textId="77777777" w:rsidR="0051780C" w:rsidRPr="00F0687E" w:rsidRDefault="0051780C" w:rsidP="00A573C4">
            <w:pPr>
              <w:pStyle w:val="FSTableText"/>
              <w:jc w:val="center"/>
              <w:rPr>
                <w:lang w:val="en-GB"/>
              </w:rPr>
            </w:pPr>
            <w:r w:rsidRPr="00F0687E">
              <w:rPr>
                <w:lang w:val="en-GB" w:eastAsia="en-AU"/>
              </w:rPr>
              <w:t>1.2</w:t>
            </w:r>
          </w:p>
        </w:tc>
        <w:tc>
          <w:tcPr>
            <w:tcW w:w="837" w:type="pct"/>
            <w:tcBorders>
              <w:bottom w:val="single" w:sz="4" w:space="0" w:color="auto"/>
            </w:tcBorders>
            <w:vAlign w:val="center"/>
          </w:tcPr>
          <w:p w14:paraId="4DF7C836" w14:textId="77777777" w:rsidR="0051780C" w:rsidRPr="00F0687E" w:rsidRDefault="0051780C" w:rsidP="00A573C4">
            <w:pPr>
              <w:pStyle w:val="FSTableText"/>
              <w:jc w:val="center"/>
              <w:rPr>
                <w:lang w:val="en-GB"/>
              </w:rPr>
            </w:pPr>
            <w:r w:rsidRPr="00F0687E">
              <w:rPr>
                <w:lang w:val="en-GB" w:eastAsia="en-AU"/>
              </w:rPr>
              <w:t>2.5</w:t>
            </w:r>
          </w:p>
        </w:tc>
        <w:tc>
          <w:tcPr>
            <w:tcW w:w="1016" w:type="pct"/>
            <w:tcBorders>
              <w:bottom w:val="single" w:sz="4" w:space="0" w:color="auto"/>
            </w:tcBorders>
            <w:vAlign w:val="center"/>
          </w:tcPr>
          <w:p w14:paraId="35C89051" w14:textId="77777777" w:rsidR="0051780C" w:rsidRPr="00F0687E" w:rsidRDefault="0051780C" w:rsidP="00A573C4">
            <w:pPr>
              <w:pStyle w:val="FSTableText"/>
              <w:jc w:val="center"/>
              <w:rPr>
                <w:lang w:val="en-GB"/>
              </w:rPr>
            </w:pPr>
            <w:r w:rsidRPr="00F0687E">
              <w:rPr>
                <w:lang w:val="en-GB"/>
              </w:rPr>
              <w:t>3.4</w:t>
            </w:r>
          </w:p>
        </w:tc>
        <w:tc>
          <w:tcPr>
            <w:tcW w:w="1016" w:type="pct"/>
            <w:tcBorders>
              <w:bottom w:val="single" w:sz="4" w:space="0" w:color="auto"/>
            </w:tcBorders>
            <w:shd w:val="clear" w:color="auto" w:fill="auto"/>
            <w:vAlign w:val="center"/>
          </w:tcPr>
          <w:p w14:paraId="6A553EF4" w14:textId="77777777" w:rsidR="0051780C" w:rsidRPr="00F0687E" w:rsidRDefault="0051780C" w:rsidP="00A573C4">
            <w:pPr>
              <w:pStyle w:val="FSTableText"/>
              <w:jc w:val="center"/>
              <w:rPr>
                <w:lang w:val="en-GB"/>
              </w:rPr>
            </w:pPr>
            <w:r w:rsidRPr="00F0687E">
              <w:rPr>
                <w:lang w:val="en-GB"/>
              </w:rPr>
              <w:t>4.7</w:t>
            </w:r>
          </w:p>
        </w:tc>
      </w:tr>
    </w:tbl>
    <w:p w14:paraId="000C6A27" w14:textId="77777777" w:rsidR="0051780C" w:rsidRPr="00552334" w:rsidRDefault="0051780C" w:rsidP="0051780C">
      <w:pPr>
        <w:rPr>
          <w:sz w:val="20"/>
          <w:lang w:val="en-GB"/>
        </w:rPr>
      </w:pPr>
      <w:r w:rsidRPr="00552334">
        <w:rPr>
          <w:vertAlign w:val="superscript"/>
          <w:lang w:val="en-GB"/>
        </w:rPr>
        <w:t>1</w:t>
      </w:r>
      <w:r w:rsidRPr="00552334">
        <w:rPr>
          <w:lang w:val="en-GB"/>
        </w:rPr>
        <w:t xml:space="preserve"> </w:t>
      </w:r>
      <w:r w:rsidRPr="00552334">
        <w:rPr>
          <w:sz w:val="20"/>
          <w:lang w:val="en-GB"/>
        </w:rPr>
        <w:t>Abbreviations: na = not available (too few consumers)</w:t>
      </w:r>
    </w:p>
    <w:p w14:paraId="77510732" w14:textId="77777777" w:rsidR="0051780C" w:rsidRDefault="0051780C" w:rsidP="0051780C">
      <w:pPr>
        <w:ind w:left="142" w:hanging="142"/>
        <w:rPr>
          <w:sz w:val="20"/>
          <w:szCs w:val="20"/>
          <w:lang w:val="en-GB"/>
        </w:rPr>
      </w:pPr>
      <w:r w:rsidRPr="00552334">
        <w:rPr>
          <w:sz w:val="20"/>
          <w:vertAlign w:val="superscript"/>
          <w:lang w:val="en-GB"/>
        </w:rPr>
        <w:t>2</w:t>
      </w:r>
      <w:r w:rsidRPr="00E10D8F">
        <w:rPr>
          <w:sz w:val="20"/>
          <w:lang w:val="en-GB"/>
        </w:rPr>
        <w:t xml:space="preserve"> </w:t>
      </w:r>
      <w:r w:rsidRPr="00F0687E">
        <w:rPr>
          <w:sz w:val="20"/>
          <w:szCs w:val="20"/>
          <w:lang w:val="en-GB"/>
        </w:rPr>
        <w:t>Results for New Zealand children (2002 NZ NCNS) excluded due to the low numbers of consumers of foods with added plant sterols. See Table A3 in Appendix 3</w:t>
      </w:r>
    </w:p>
    <w:p w14:paraId="30988574" w14:textId="5A80DAFD" w:rsidR="004C4EBB" w:rsidRPr="004C4EBB" w:rsidRDefault="004C4EBB" w:rsidP="0051780C">
      <w:pPr>
        <w:ind w:left="142" w:hanging="142"/>
        <w:rPr>
          <w:sz w:val="20"/>
          <w:szCs w:val="20"/>
          <w:lang w:val="en-GB"/>
        </w:rPr>
      </w:pPr>
      <w:r w:rsidRPr="004C4EBB">
        <w:rPr>
          <w:sz w:val="20"/>
          <w:szCs w:val="20"/>
          <w:vertAlign w:val="superscript"/>
          <w:lang w:val="en-GB"/>
        </w:rPr>
        <w:t>3</w:t>
      </w:r>
      <w:r w:rsidRPr="004C4EBB">
        <w:rPr>
          <w:sz w:val="20"/>
          <w:szCs w:val="20"/>
          <w:lang w:val="en-GB"/>
        </w:rPr>
        <w:t xml:space="preserve"> Expressed as plant sterol equivalents</w:t>
      </w:r>
    </w:p>
    <w:p w14:paraId="7A8E0FBC" w14:textId="77777777" w:rsidR="0051780C" w:rsidRPr="00552334" w:rsidRDefault="0051780C" w:rsidP="0051780C">
      <w:pPr>
        <w:rPr>
          <w:sz w:val="20"/>
          <w:lang w:val="en-GB"/>
        </w:rPr>
      </w:pPr>
    </w:p>
    <w:p w14:paraId="36FE8F77" w14:textId="0993FB4C" w:rsidR="0051780C" w:rsidRPr="00552334" w:rsidRDefault="0051780C" w:rsidP="0051780C">
      <w:pPr>
        <w:rPr>
          <w:lang w:val="en-GB"/>
        </w:rPr>
      </w:pPr>
      <w:r w:rsidRPr="00552334">
        <w:rPr>
          <w:lang w:val="en-GB"/>
        </w:rPr>
        <w:t xml:space="preserve">Because of the methodological differences, the exposure estimates shown in Table 4 (above) cannot be directly compared to the preceding assessments (e.g. </w:t>
      </w:r>
      <w:r w:rsidRPr="00552334">
        <w:rPr>
          <w:lang w:val="en-GB"/>
        </w:rPr>
        <w:fldChar w:fldCharType="begin"/>
      </w:r>
      <w:r w:rsidRPr="00552334">
        <w:rPr>
          <w:lang w:val="en-GB"/>
        </w:rPr>
        <w:instrText xml:space="preserve"> ADDIN REFMGR.CITE &lt;Refman&gt;&lt;Cite&gt;&lt;Author&gt;FSANZ&lt;/Author&gt;&lt;Year&gt;2010&lt;/Year&gt;&lt;RecNum&gt;14&lt;/RecNum&gt;&lt;IDText&gt;Application A1024 - Equivalence of plant stanols, sterols &amp;amp; their fatty acid esters, Supporting document 1&lt;/IDText&gt;&lt;MDL Ref_Type="Report"&gt;&lt;Ref_Type&gt;Report&lt;/Ref_Type&gt;&lt;Ref_ID&gt;14&lt;/Ref_ID&gt;&lt;Title_Primary&gt;Application A1024 - Equivalence of plant stanols, sterols &amp;amp; their fatty acid esters, Supporting document 1&lt;/Title_Primary&gt;&lt;Authors_Primary&gt;FSANZ&lt;/Authors_Primary&gt;&lt;Date_Primary&gt;2010&lt;/Date_Primary&gt;&lt;Keywords&gt;Diet&lt;/Keywords&gt;&lt;Keywords&gt;exposure&lt;/Keywords&gt;&lt;Reprint&gt;Not in File&lt;/Reprint&gt;&lt;Pub_Place&gt;Canberra&lt;/Pub_Place&gt;&lt;Publisher&gt;Report prepared by Food Standards Australia New Zealand&lt;/Publisher&gt;&lt;Web_URL&gt;&lt;u&gt;http://www.foodstandards.gov.au/code/applications/Pages/applicationa1024equi4316.aspx&lt;/u&gt;&lt;/Web_URL&gt;&lt;ZZ_WorkformID&gt;24&lt;/ZZ_WorkformID&gt;&lt;/MDL&gt;&lt;/Cite&gt;&lt;Cite&gt;&lt;Author&gt;FSANZ&lt;/Author&gt;&lt;Year&gt;2010&lt;/Year&gt;&lt;RecNum&gt;15&lt;/RecNum&gt;&lt;IDText&gt;Application A1019 - Phytosterol esters in low fat cheese, SD1 - Risk Assessment&lt;/IDText&gt;&lt;MDL Ref_Type="Report"&gt;&lt;Ref_Type&gt;Report&lt;/Ref_Type&gt;&lt;Ref_ID&gt;15&lt;/Ref_ID&gt;&lt;Title_Primary&gt;Application A1019 - Phytosterol esters in low fat cheese, SD1 - Risk Assessment&lt;/Title_Primary&gt;&lt;Authors_Primary&gt;FSANZ&lt;/Authors_Primary&gt;&lt;Date_Primary&gt;2010&lt;/Date_Primary&gt;&lt;Keywords&gt;phytosterols&lt;/Keywords&gt;&lt;Reprint&gt;Not in File&lt;/Reprint&gt;&lt;Pub_Place&gt;Canberra&lt;/Pub_Place&gt;&lt;Publisher&gt;Report prepared by Food Standards Australia New Zealand&lt;/Publisher&gt;&lt;Web_URL&gt;&lt;u&gt;http://www.foodstandards.gov.au/code/applications/Pages/applicationa1024equi4316.aspx&lt;/u&gt;&lt;/Web_URL&gt;&lt;ZZ_WorkformID&gt;24&lt;/ZZ_WorkformID&gt;&lt;/MDL&gt;&lt;/Cite&gt;&lt;/Refman&gt;</w:instrText>
      </w:r>
      <w:r w:rsidRPr="00552334">
        <w:rPr>
          <w:lang w:val="en-GB"/>
        </w:rPr>
        <w:fldChar w:fldCharType="separate"/>
      </w:r>
      <w:r w:rsidRPr="00552334">
        <w:rPr>
          <w:lang w:val="en-GB"/>
        </w:rPr>
        <w:t>(FSANZ 2010a; FSANZ 2010b)</w:t>
      </w:r>
      <w:r w:rsidRPr="00552334">
        <w:rPr>
          <w:lang w:val="en-GB"/>
        </w:rPr>
        <w:fldChar w:fldCharType="end"/>
      </w:r>
      <w:r w:rsidRPr="00552334">
        <w:rPr>
          <w:lang w:val="en-GB"/>
        </w:rPr>
        <w:t>.</w:t>
      </w:r>
      <w:r w:rsidR="007B1FDE">
        <w:rPr>
          <w:lang w:val="en-GB"/>
        </w:rPr>
        <w:t xml:space="preserve"> The overall </w:t>
      </w:r>
      <w:r w:rsidR="007B1FDE" w:rsidRPr="00552334">
        <w:rPr>
          <w:lang w:val="en-GB"/>
        </w:rPr>
        <w:t xml:space="preserve">range </w:t>
      </w:r>
      <w:r w:rsidR="00BA464E">
        <w:rPr>
          <w:lang w:val="en-GB"/>
        </w:rPr>
        <w:t xml:space="preserve">of plant sterol dietary exposures </w:t>
      </w:r>
      <w:r w:rsidR="007B1FDE" w:rsidRPr="00552334">
        <w:rPr>
          <w:lang w:val="en-GB"/>
        </w:rPr>
        <w:t xml:space="preserve">previously estimated by FSANZ </w:t>
      </w:r>
      <w:r w:rsidR="007B1FDE">
        <w:rPr>
          <w:lang w:val="en-GB"/>
        </w:rPr>
        <w:t xml:space="preserve">was </w:t>
      </w:r>
      <w:r w:rsidR="007B1FDE" w:rsidRPr="00552334">
        <w:rPr>
          <w:lang w:val="en-GB"/>
        </w:rPr>
        <w:t>1.9</w:t>
      </w:r>
      <w:r w:rsidR="007B1FDE" w:rsidRPr="00F0687E">
        <w:rPr>
          <w:lang w:val="en-GB"/>
        </w:rPr>
        <w:t>–</w:t>
      </w:r>
      <w:r w:rsidR="007B1FDE" w:rsidRPr="00552334">
        <w:rPr>
          <w:lang w:val="en-GB"/>
        </w:rPr>
        <w:t>4.8 g/day</w:t>
      </w:r>
      <w:r w:rsidR="00BA464E">
        <w:rPr>
          <w:lang w:val="en-GB"/>
        </w:rPr>
        <w:t>, which</w:t>
      </w:r>
      <w:r w:rsidR="006F0BE1">
        <w:rPr>
          <w:lang w:val="en-GB"/>
        </w:rPr>
        <w:t xml:space="preserve"> was of the same orde</w:t>
      </w:r>
      <w:r w:rsidR="00E12C5C">
        <w:rPr>
          <w:lang w:val="en-GB"/>
        </w:rPr>
        <w:t>r</w:t>
      </w:r>
      <w:r w:rsidR="006F0BE1">
        <w:rPr>
          <w:lang w:val="en-GB"/>
        </w:rPr>
        <w:t xml:space="preserve"> of magnitude</w:t>
      </w:r>
      <w:r w:rsidR="00EB4B74">
        <w:rPr>
          <w:lang w:val="en-GB"/>
        </w:rPr>
        <w:t xml:space="preserve"> as the current estimate</w:t>
      </w:r>
      <w:r w:rsidR="00E12C5C">
        <w:rPr>
          <w:lang w:val="en-GB"/>
        </w:rPr>
        <w:t>. I</w:t>
      </w:r>
      <w:r w:rsidR="007B1FDE">
        <w:rPr>
          <w:lang w:val="en-GB"/>
        </w:rPr>
        <w:t>t was</w:t>
      </w:r>
      <w:r w:rsidRPr="00552334">
        <w:rPr>
          <w:lang w:val="en-GB"/>
        </w:rPr>
        <w:t xml:space="preserve"> concluded </w:t>
      </w:r>
      <w:r w:rsidR="00BC4A66">
        <w:rPr>
          <w:lang w:val="en-GB"/>
        </w:rPr>
        <w:t xml:space="preserve">in previously assessments </w:t>
      </w:r>
      <w:r w:rsidRPr="00552334">
        <w:rPr>
          <w:lang w:val="en-GB"/>
        </w:rPr>
        <w:t>that there was no safety risk to the Australian and New Zealand populations</w:t>
      </w:r>
      <w:r>
        <w:rPr>
          <w:lang w:val="en-GB"/>
        </w:rPr>
        <w:t xml:space="preserve">. </w:t>
      </w:r>
    </w:p>
    <w:p w14:paraId="5ED29EEC" w14:textId="107777FC" w:rsidR="0051780C" w:rsidRPr="00552334" w:rsidRDefault="0051780C" w:rsidP="00B14D36">
      <w:pPr>
        <w:pStyle w:val="Heading3"/>
      </w:pPr>
      <w:bookmarkStart w:id="368" w:name="_Toc466903404"/>
      <w:bookmarkStart w:id="369" w:name="_Toc466909069"/>
      <w:bookmarkStart w:id="370" w:name="_Toc466986185"/>
      <w:bookmarkStart w:id="371" w:name="_Toc466986238"/>
      <w:bookmarkStart w:id="372" w:name="_Toc467052903"/>
      <w:bookmarkStart w:id="373" w:name="_Toc467064056"/>
      <w:bookmarkStart w:id="374" w:name="_Toc467064503"/>
      <w:bookmarkStart w:id="375" w:name="_Toc467077510"/>
      <w:bookmarkStart w:id="376" w:name="_Toc477274236"/>
      <w:r w:rsidRPr="00552334">
        <w:t>5.4.3</w:t>
      </w:r>
      <w:r>
        <w:tab/>
      </w:r>
      <w:r w:rsidRPr="00552334">
        <w:t xml:space="preserve">Estimated total dietary plant sterol exposure </w:t>
      </w:r>
      <w:r w:rsidRPr="00E10D8F">
        <w:t xml:space="preserve">- </w:t>
      </w:r>
      <w:r w:rsidRPr="00552334">
        <w:t>scenario modelling</w:t>
      </w:r>
      <w:bookmarkEnd w:id="368"/>
      <w:bookmarkEnd w:id="369"/>
      <w:r w:rsidRPr="00552334">
        <w:t xml:space="preserve"> approach</w:t>
      </w:r>
      <w:bookmarkEnd w:id="370"/>
      <w:bookmarkEnd w:id="371"/>
      <w:bookmarkEnd w:id="372"/>
      <w:bookmarkEnd w:id="373"/>
      <w:bookmarkEnd w:id="374"/>
      <w:bookmarkEnd w:id="375"/>
      <w:bookmarkEnd w:id="376"/>
    </w:p>
    <w:p w14:paraId="5127A3A4" w14:textId="77777777" w:rsidR="0051780C" w:rsidRPr="00F0687E" w:rsidRDefault="0051780C" w:rsidP="0051780C">
      <w:pPr>
        <w:rPr>
          <w:lang w:val="en-GB" w:eastAsia="en-AU" w:bidi="ar-SA"/>
        </w:rPr>
      </w:pPr>
      <w:r w:rsidRPr="00552334">
        <w:rPr>
          <w:lang w:val="en-GB" w:eastAsia="en-AU" w:bidi="ar-SA"/>
        </w:rPr>
        <w:t>Estimated total dietary plant sterol exposures were determined for Day 1 and Day 2 consumers of foods with added plant sterols as reported in the Australian 2011</w:t>
      </w:r>
      <w:r w:rsidRPr="00F0687E">
        <w:rPr>
          <w:lang w:val="en-GB" w:eastAsia="en-AU" w:bidi="ar-SA"/>
        </w:rPr>
        <w:t>–</w:t>
      </w:r>
      <w:r w:rsidRPr="00552334">
        <w:rPr>
          <w:lang w:val="en-GB" w:eastAsia="en-AU" w:bidi="ar-SA"/>
        </w:rPr>
        <w:t xml:space="preserve">12 NNPAS. The exposure estimates using the scenario model approach were not derived for the New Zealand population </w:t>
      </w:r>
      <w:r w:rsidRPr="00F0687E">
        <w:rPr>
          <w:lang w:val="en-GB" w:eastAsia="en-AU" w:bidi="ar-SA"/>
        </w:rPr>
        <w:t>due to low numbers of respondents for Day 2 of the New Zealand surveys.</w:t>
      </w:r>
    </w:p>
    <w:p w14:paraId="78BDB798" w14:textId="77777777" w:rsidR="0051780C" w:rsidRPr="00552334" w:rsidRDefault="0051780C" w:rsidP="0051780C">
      <w:pPr>
        <w:rPr>
          <w:lang w:val="en-GB" w:eastAsia="en-AU" w:bidi="ar-SA"/>
        </w:rPr>
      </w:pPr>
    </w:p>
    <w:p w14:paraId="21394D70" w14:textId="6A847602" w:rsidR="0051780C" w:rsidRPr="00552334" w:rsidRDefault="0051780C" w:rsidP="0051780C">
      <w:pPr>
        <w:rPr>
          <w:lang w:val="en-GB" w:eastAsia="en-AU" w:bidi="ar-SA"/>
        </w:rPr>
      </w:pPr>
      <w:r w:rsidRPr="00552334">
        <w:rPr>
          <w:lang w:val="en-GB" w:eastAsia="en-AU" w:bidi="ar-SA"/>
        </w:rPr>
        <w:t xml:space="preserve">Estimated total dietary exposures calculated from the “Baseline” scenario (where foods included </w:t>
      </w:r>
      <w:r w:rsidRPr="00E10D8F">
        <w:rPr>
          <w:lang w:val="en-GB" w:eastAsia="en-AU" w:bidi="ar-SA"/>
        </w:rPr>
        <w:t>edible oil spreads, cheese, low fat milk, and yoghurt) ranged from 0.25</w:t>
      </w:r>
      <w:r w:rsidRPr="00F0687E">
        <w:rPr>
          <w:lang w:val="en-GB" w:eastAsia="en-AU" w:bidi="ar-SA"/>
        </w:rPr>
        <w:t>–</w:t>
      </w:r>
      <w:r w:rsidRPr="00552334">
        <w:rPr>
          <w:lang w:val="en-GB" w:eastAsia="en-AU" w:bidi="ar-SA"/>
        </w:rPr>
        <w:t>0.98 g/day and 0.78</w:t>
      </w:r>
      <w:r w:rsidRPr="00F0687E">
        <w:rPr>
          <w:lang w:val="en-GB" w:eastAsia="en-AU" w:bidi="ar-SA"/>
        </w:rPr>
        <w:t>–</w:t>
      </w:r>
      <w:r w:rsidRPr="00552334">
        <w:rPr>
          <w:lang w:val="en-GB" w:eastAsia="en-AU" w:bidi="ar-SA"/>
        </w:rPr>
        <w:t>1.95 g/day for mean and P90 estimates, respectively (Table 5)</w:t>
      </w:r>
      <w:r>
        <w:rPr>
          <w:lang w:val="en-GB" w:eastAsia="en-AU" w:bidi="ar-SA"/>
        </w:rPr>
        <w:t xml:space="preserve">. </w:t>
      </w:r>
      <w:r w:rsidRPr="00552334">
        <w:rPr>
          <w:lang w:val="en-GB" w:eastAsia="en-AU" w:bidi="ar-SA"/>
        </w:rPr>
        <w:t xml:space="preserve">As these exposure estimates are based on an average of Day 1 and Day 2 consumption amounts, and therefore represent an estimate of chronic exposure, these exposure estimates are lower than the baseline exposures calculated from Day 1 consumption only (Table </w:t>
      </w:r>
      <w:r w:rsidRPr="00E10D8F">
        <w:rPr>
          <w:lang w:val="en-GB" w:eastAsia="en-AU" w:bidi="ar-SA"/>
        </w:rPr>
        <w:t>4</w:t>
      </w:r>
      <w:r w:rsidRPr="00552334">
        <w:rPr>
          <w:lang w:val="en-GB" w:eastAsia="en-AU" w:bidi="ar-SA"/>
        </w:rPr>
        <w:t>)</w:t>
      </w:r>
      <w:r w:rsidR="005D23AD">
        <w:rPr>
          <w:lang w:val="en-GB" w:eastAsia="en-AU" w:bidi="ar-SA"/>
        </w:rPr>
        <w:t>.</w:t>
      </w:r>
    </w:p>
    <w:p w14:paraId="2E5C87E6" w14:textId="77777777" w:rsidR="0051780C" w:rsidRPr="00F0687E" w:rsidRDefault="0051780C" w:rsidP="0051780C">
      <w:pPr>
        <w:rPr>
          <w:lang w:val="en-GB" w:eastAsia="en-AU" w:bidi="ar-SA"/>
        </w:rPr>
      </w:pPr>
    </w:p>
    <w:p w14:paraId="2ED63D99" w14:textId="081DF4F1" w:rsidR="0051780C" w:rsidRPr="00F0687E" w:rsidRDefault="0051780C" w:rsidP="0051780C">
      <w:pPr>
        <w:rPr>
          <w:lang w:val="en-GB" w:eastAsia="en-AU" w:bidi="ar-SA"/>
        </w:rPr>
      </w:pPr>
      <w:r w:rsidRPr="00F0687E">
        <w:rPr>
          <w:lang w:val="en-GB" w:eastAsia="en-AU" w:bidi="ar-SA"/>
        </w:rPr>
        <w:t>Estimated dietary exposures calculated from the “Breakfast cereal + Baseline” scenario (where foods included the baseline foods plus breakfast cereals with the proposed addition of plant sterols, as specified in Table 3) ranged from 2.05–3.67 g/day and 4.34–</w:t>
      </w:r>
      <w:r w:rsidR="00A04F50">
        <w:rPr>
          <w:lang w:val="en-GB" w:eastAsia="en-AU" w:bidi="ar-SA"/>
        </w:rPr>
        <w:t>7.41</w:t>
      </w:r>
      <w:r w:rsidRPr="00F0687E">
        <w:rPr>
          <w:lang w:val="en-GB" w:eastAsia="en-AU" w:bidi="ar-SA"/>
        </w:rPr>
        <w:t xml:space="preserve"> g</w:t>
      </w:r>
      <w:r w:rsidR="006C6133">
        <w:rPr>
          <w:lang w:val="en-GB" w:eastAsia="en-AU" w:bidi="ar-SA"/>
        </w:rPr>
        <w:t>/day for mean and P90 estimates</w:t>
      </w:r>
      <w:r w:rsidRPr="00F0687E">
        <w:rPr>
          <w:lang w:val="en-GB" w:eastAsia="en-AU" w:bidi="ar-SA"/>
        </w:rPr>
        <w:t xml:space="preserve"> respectively</w:t>
      </w:r>
      <w:r w:rsidR="006C6133">
        <w:rPr>
          <w:lang w:val="en-GB" w:eastAsia="en-AU" w:bidi="ar-SA"/>
        </w:rPr>
        <w:t>, expressed as plant sterol equivalents</w:t>
      </w:r>
      <w:r w:rsidRPr="00F0687E">
        <w:rPr>
          <w:lang w:val="en-GB" w:eastAsia="en-AU" w:bidi="ar-SA"/>
        </w:rPr>
        <w:t xml:space="preserve"> (Table 5). </w:t>
      </w:r>
    </w:p>
    <w:p w14:paraId="6C05F584" w14:textId="77777777" w:rsidR="0051780C" w:rsidRPr="00F0687E" w:rsidRDefault="0051780C" w:rsidP="0051780C">
      <w:pPr>
        <w:rPr>
          <w:lang w:val="en-GB" w:eastAsia="en-AU" w:bidi="ar-SA"/>
        </w:rPr>
      </w:pPr>
    </w:p>
    <w:p w14:paraId="3BA8A81D" w14:textId="6FE667C1" w:rsidR="0051780C" w:rsidRPr="00F0687E" w:rsidRDefault="0051780C" w:rsidP="0051780C">
      <w:pPr>
        <w:rPr>
          <w:lang w:val="en-GB" w:eastAsia="en-AU" w:bidi="ar-SA"/>
        </w:rPr>
      </w:pPr>
      <w:r w:rsidRPr="00F0687E">
        <w:rPr>
          <w:lang w:val="en-GB" w:eastAsia="en-AU" w:bidi="ar-SA"/>
        </w:rPr>
        <w:t>FSANZ concluded in the Hazard Assessment (Section 3) that there was no justification for establishing an ADI for plant sterols. The Nutrition Assessment (Section 4) reported that human trials indicated that dietary exposures of up to 9 g/day of plant sterol</w:t>
      </w:r>
      <w:r w:rsidR="00B42AE1">
        <w:rPr>
          <w:lang w:val="en-GB" w:eastAsia="en-AU" w:bidi="ar-SA"/>
        </w:rPr>
        <w:t>s</w:t>
      </w:r>
      <w:r w:rsidRPr="00F0687E">
        <w:rPr>
          <w:lang w:val="en-GB" w:eastAsia="en-AU" w:bidi="ar-SA"/>
        </w:rPr>
        <w:t xml:space="preserve"> did not affect blood concentrations of fat soluble vitamins. The proportion of survey respondents for which the estimated daily exposure was greater than </w:t>
      </w:r>
      <w:r w:rsidR="00D966B5">
        <w:rPr>
          <w:lang w:val="en-GB" w:eastAsia="en-AU" w:bidi="ar-SA"/>
        </w:rPr>
        <w:t>9</w:t>
      </w:r>
      <w:r w:rsidRPr="00F0687E">
        <w:rPr>
          <w:lang w:val="en-GB" w:eastAsia="en-AU" w:bidi="ar-SA"/>
        </w:rPr>
        <w:t xml:space="preserve"> g/day was calculated (Table 5). </w:t>
      </w:r>
    </w:p>
    <w:p w14:paraId="50462E3C" w14:textId="77777777" w:rsidR="0051780C" w:rsidRPr="00F0687E" w:rsidRDefault="0051780C" w:rsidP="0051780C">
      <w:pPr>
        <w:rPr>
          <w:lang w:val="en-GB" w:eastAsia="en-AU" w:bidi="ar-SA"/>
        </w:rPr>
      </w:pPr>
    </w:p>
    <w:p w14:paraId="2F689B80" w14:textId="56A0A0E8" w:rsidR="00724D8F" w:rsidRDefault="0051780C" w:rsidP="0051780C">
      <w:pPr>
        <w:rPr>
          <w:lang w:val="en-GB" w:eastAsia="en-AU" w:bidi="ar-SA"/>
        </w:rPr>
      </w:pPr>
      <w:r w:rsidRPr="00F0687E">
        <w:rPr>
          <w:lang w:val="en-GB" w:eastAsia="en-AU" w:bidi="ar-SA"/>
        </w:rPr>
        <w:t>From the “Baseline” scenario, there were no age groups where respondents had estimated dietary plant sterol exposures greater than</w:t>
      </w:r>
      <w:r w:rsidR="00BA3323">
        <w:rPr>
          <w:lang w:val="en-GB" w:eastAsia="en-AU" w:bidi="ar-SA"/>
        </w:rPr>
        <w:t>9 g/day</w:t>
      </w:r>
      <w:r w:rsidRPr="00F0687E">
        <w:rPr>
          <w:lang w:val="en-GB" w:eastAsia="en-AU" w:bidi="ar-SA"/>
        </w:rPr>
        <w:t xml:space="preserve">. From the “Breakfast cereal + Baseline” scenario, the proportion of respondents with estimated dietary plant sterol exposures greater than </w:t>
      </w:r>
      <w:r w:rsidR="00BA3323" w:rsidRPr="00D966B5">
        <w:rPr>
          <w:lang w:val="en-GB" w:eastAsia="en-AU" w:bidi="ar-SA"/>
        </w:rPr>
        <w:t xml:space="preserve">9 g/day </w:t>
      </w:r>
      <w:r w:rsidRPr="00F0687E">
        <w:rPr>
          <w:lang w:val="en-GB" w:eastAsia="en-AU" w:bidi="ar-SA"/>
        </w:rPr>
        <w:t xml:space="preserve">ranged from 0 to </w:t>
      </w:r>
      <w:r w:rsidR="00BA3323">
        <w:rPr>
          <w:lang w:val="en-GB" w:eastAsia="en-AU" w:bidi="ar-SA"/>
        </w:rPr>
        <w:t>2.6</w:t>
      </w:r>
      <w:r w:rsidRPr="00F0687E">
        <w:rPr>
          <w:lang w:val="en-GB" w:eastAsia="en-AU" w:bidi="ar-SA"/>
        </w:rPr>
        <w:t xml:space="preserve">% survey respondents. The proportion of children respondents aged 2–17 years with exposures greater than </w:t>
      </w:r>
      <w:r w:rsidR="00BA3323" w:rsidRPr="00D966B5">
        <w:rPr>
          <w:lang w:val="en-GB" w:eastAsia="en-AU" w:bidi="ar-SA"/>
        </w:rPr>
        <w:t xml:space="preserve">9 </w:t>
      </w:r>
      <w:r w:rsidRPr="00F0687E">
        <w:rPr>
          <w:lang w:val="en-GB" w:eastAsia="en-AU" w:bidi="ar-SA"/>
        </w:rPr>
        <w:t xml:space="preserve">g/day was 0 to </w:t>
      </w:r>
      <w:r w:rsidR="00BA3323">
        <w:rPr>
          <w:lang w:val="en-GB" w:eastAsia="en-AU" w:bidi="ar-SA"/>
        </w:rPr>
        <w:t>1.1</w:t>
      </w:r>
      <w:r w:rsidRPr="00F0687E">
        <w:rPr>
          <w:lang w:val="en-GB" w:eastAsia="en-AU" w:bidi="ar-SA"/>
        </w:rPr>
        <w:t xml:space="preserve"> %.</w:t>
      </w:r>
      <w:r w:rsidR="00724D8F">
        <w:rPr>
          <w:lang w:val="en-GB" w:eastAsia="en-AU" w:bidi="ar-SA"/>
        </w:rPr>
        <w:br w:type="page"/>
      </w:r>
    </w:p>
    <w:p w14:paraId="5E3A7E65" w14:textId="4263EE5A" w:rsidR="00AA2853" w:rsidRDefault="0051780C" w:rsidP="0051780C">
      <w:pPr>
        <w:rPr>
          <w:lang w:val="en-GB"/>
        </w:rPr>
      </w:pPr>
      <w:r w:rsidRPr="00F0687E">
        <w:rPr>
          <w:lang w:val="en-GB" w:eastAsia="en-AU" w:bidi="ar-SA"/>
        </w:rPr>
        <w:lastRenderedPageBreak/>
        <w:t xml:space="preserve">The dietary exposure estimates for plant sterols for the high consumers (i.e. the P90 exposure) in the “Breakfast cereal + Baseline” scenario model were higher than the dietary exposure estimates </w:t>
      </w:r>
      <w:r w:rsidRPr="00552334">
        <w:rPr>
          <w:lang w:val="en-GB" w:eastAsia="en-AU" w:bidi="ar-SA"/>
        </w:rPr>
        <w:t>for which no safety risk to the Australian and New Zealand populations was previously concluded by FSANZ (FSANZ 2010a, FSANZ 2010b)</w:t>
      </w:r>
      <w:r w:rsidRPr="00F0687E">
        <w:rPr>
          <w:lang w:val="en-GB" w:eastAsia="en-AU" w:bidi="ar-SA"/>
        </w:rPr>
        <w:t xml:space="preserve">. </w:t>
      </w:r>
      <w:r w:rsidRPr="00552334">
        <w:rPr>
          <w:lang w:val="en-GB"/>
        </w:rPr>
        <w:t xml:space="preserve">However, the proportion of the population (i.e. based on survey respondents) that would have exposures greater than </w:t>
      </w:r>
      <w:r w:rsidR="00BA3323" w:rsidRPr="00D966B5">
        <w:rPr>
          <w:lang w:val="en-GB"/>
        </w:rPr>
        <w:t>9</w:t>
      </w:r>
      <w:r w:rsidRPr="00552334">
        <w:rPr>
          <w:lang w:val="en-GB"/>
        </w:rPr>
        <w:t xml:space="preserve"> g /day, an amount that was shown to have no adverse health effects in human populations (see Section 4.2), was in the range of 0 to </w:t>
      </w:r>
      <w:r w:rsidR="00BA3323">
        <w:rPr>
          <w:lang w:val="en-GB"/>
        </w:rPr>
        <w:t>2.6</w:t>
      </w:r>
      <w:r w:rsidRPr="00552334">
        <w:rPr>
          <w:lang w:val="en-GB"/>
        </w:rPr>
        <w:t>% across all age groups.</w:t>
      </w:r>
    </w:p>
    <w:p w14:paraId="0826F6FE" w14:textId="77777777" w:rsidR="00AA2853" w:rsidRPr="00F935CA" w:rsidRDefault="00AA2853" w:rsidP="00AA2853">
      <w:pPr>
        <w:pStyle w:val="Heading2"/>
      </w:pPr>
      <w:bookmarkStart w:id="377" w:name="_Toc477274237"/>
      <w:r w:rsidRPr="00F935CA">
        <w:t>5.5</w:t>
      </w:r>
      <w:r>
        <w:tab/>
      </w:r>
      <w:r w:rsidRPr="00F935CA">
        <w:t xml:space="preserve">Dietary </w:t>
      </w:r>
      <w:r>
        <w:t>e</w:t>
      </w:r>
      <w:r w:rsidRPr="00F935CA">
        <w:t xml:space="preserve">xposure </w:t>
      </w:r>
      <w:r>
        <w:t>a</w:t>
      </w:r>
      <w:r w:rsidRPr="00F935CA">
        <w:t xml:space="preserve">ssessment </w:t>
      </w:r>
      <w:r>
        <w:t>c</w:t>
      </w:r>
      <w:r w:rsidRPr="00F935CA">
        <w:t>onclusion</w:t>
      </w:r>
      <w:bookmarkEnd w:id="377"/>
    </w:p>
    <w:p w14:paraId="59DE2D96" w14:textId="77777777" w:rsidR="00AA2853" w:rsidRPr="00552334" w:rsidRDefault="00AA2853" w:rsidP="00AA2853">
      <w:pPr>
        <w:rPr>
          <w:lang w:val="en-GB"/>
        </w:rPr>
      </w:pPr>
      <w:r w:rsidRPr="00552334">
        <w:rPr>
          <w:lang w:val="en-GB"/>
        </w:rPr>
        <w:t xml:space="preserve">Plant sterol dietary exposure was estimated using two approaches. The first </w:t>
      </w:r>
      <w:r w:rsidRPr="00E10D8F">
        <w:rPr>
          <w:lang w:val="en-GB"/>
        </w:rPr>
        <w:t xml:space="preserve">per portion </w:t>
      </w:r>
      <w:r w:rsidRPr="00552334">
        <w:rPr>
          <w:lang w:val="en-GB"/>
        </w:rPr>
        <w:t xml:space="preserve">approach estimated exposure based on baseline consumption of foods with added plant sterols, as reported in the most recent NNSs and an added consumption of 2.2 g/day of plant sterols from portion-controlled breakfast cereal. This approach assumed that only persons choosing to consume breakfast cereals at the recommended </w:t>
      </w:r>
      <w:r>
        <w:rPr>
          <w:lang w:val="en-GB"/>
        </w:rPr>
        <w:t>serving</w:t>
      </w:r>
      <w:r w:rsidRPr="00552334">
        <w:rPr>
          <w:lang w:val="en-GB"/>
        </w:rPr>
        <w:t xml:space="preserve"> size per day with a plant sterol concentration of 2.2 g/</w:t>
      </w:r>
      <w:r>
        <w:rPr>
          <w:lang w:val="en-GB"/>
        </w:rPr>
        <w:t>serve</w:t>
      </w:r>
      <w:r w:rsidRPr="00552334">
        <w:rPr>
          <w:lang w:val="en-GB"/>
        </w:rPr>
        <w:t xml:space="preserve"> would be exposed to additional dietary plant sterols. Estimated total dietary exposures across all population groups (for which data were available) were in the range that would be unlikely to pose a risk to Australian and New Zealand populations. </w:t>
      </w:r>
    </w:p>
    <w:p w14:paraId="3B87BFFD" w14:textId="77777777" w:rsidR="00AA2853" w:rsidRPr="00552334" w:rsidRDefault="00AA2853" w:rsidP="00AA2853">
      <w:pPr>
        <w:rPr>
          <w:lang w:val="en-GB"/>
        </w:rPr>
      </w:pPr>
    </w:p>
    <w:p w14:paraId="61DD2759" w14:textId="77777777" w:rsidR="00AA2853" w:rsidRPr="00F0687E" w:rsidRDefault="00AA2853" w:rsidP="00AA2853">
      <w:pPr>
        <w:rPr>
          <w:lang w:val="en-GB"/>
        </w:rPr>
      </w:pPr>
      <w:r>
        <w:rPr>
          <w:lang w:val="en-GB"/>
        </w:rPr>
        <w:t>For t</w:t>
      </w:r>
      <w:r w:rsidRPr="00552334">
        <w:rPr>
          <w:lang w:val="en-GB"/>
        </w:rPr>
        <w:t xml:space="preserve">he second scenario modelling approach, </w:t>
      </w:r>
      <w:r>
        <w:rPr>
          <w:lang w:val="en-GB"/>
        </w:rPr>
        <w:t>it was</w:t>
      </w:r>
      <w:r w:rsidRPr="00552334">
        <w:rPr>
          <w:lang w:val="en-GB"/>
        </w:rPr>
        <w:t xml:space="preserve"> assumed that all breakfast cereals meeting the sugar and fibre criteria would contain plant sterols at the proposed maximum permitted level. The approach was based on Day 1 and Day 2 consumption amounts of breakfast cereal and it accounted for persons who may consume more than the recommended </w:t>
      </w:r>
      <w:r>
        <w:rPr>
          <w:lang w:val="en-GB"/>
        </w:rPr>
        <w:t>serving</w:t>
      </w:r>
      <w:r w:rsidRPr="00552334">
        <w:rPr>
          <w:lang w:val="en-GB"/>
        </w:rPr>
        <w:t xml:space="preserve"> amount. Estimated dietary exposures were higher than that derived in the first approach and higher than that derived in previous FSANZ assessments. </w:t>
      </w:r>
      <w:r w:rsidRPr="00F0687E">
        <w:rPr>
          <w:lang w:val="en-GB" w:eastAsia="en-AU" w:bidi="ar-SA"/>
        </w:rPr>
        <w:t xml:space="preserve">However, the proportion of respondents in the Australian population that may have estimated dietary exposures greater than </w:t>
      </w:r>
      <w:r w:rsidRPr="00BA3323">
        <w:rPr>
          <w:lang w:val="en-GB" w:eastAsia="en-AU" w:bidi="ar-SA"/>
        </w:rPr>
        <w:t>9</w:t>
      </w:r>
      <w:r w:rsidRPr="00F0687E">
        <w:rPr>
          <w:lang w:val="en-GB" w:eastAsia="en-AU" w:bidi="ar-SA"/>
        </w:rPr>
        <w:t xml:space="preserve"> g </w:t>
      </w:r>
      <w:r>
        <w:rPr>
          <w:lang w:val="en-GB" w:eastAsia="en-AU" w:bidi="ar-SA"/>
        </w:rPr>
        <w:t xml:space="preserve">total </w:t>
      </w:r>
      <w:r w:rsidRPr="00F0687E">
        <w:rPr>
          <w:lang w:val="en-GB" w:eastAsia="en-AU" w:bidi="ar-SA"/>
        </w:rPr>
        <w:t>plant sterol equivalents</w:t>
      </w:r>
      <w:r>
        <w:rPr>
          <w:lang w:val="en-GB" w:eastAsia="en-AU" w:bidi="ar-SA"/>
        </w:rPr>
        <w:t xml:space="preserve"> per </w:t>
      </w:r>
      <w:r w:rsidRPr="00F0687E">
        <w:rPr>
          <w:lang w:val="en-GB" w:eastAsia="en-AU" w:bidi="ar-SA"/>
        </w:rPr>
        <w:t>day, an amount that has been shown in humans to have no adverse effects, is considered low</w:t>
      </w:r>
      <w:r>
        <w:rPr>
          <w:lang w:val="en-GB" w:eastAsia="en-AU" w:bidi="ar-SA"/>
        </w:rPr>
        <w:t xml:space="preserve"> (0-2.6% across different age groups)</w:t>
      </w:r>
      <w:r w:rsidRPr="00F0687E">
        <w:rPr>
          <w:lang w:val="en-GB" w:eastAsia="en-AU" w:bidi="ar-SA"/>
        </w:rPr>
        <w:t xml:space="preserve">. Given that the scenario employed to estimate </w:t>
      </w:r>
      <w:r>
        <w:rPr>
          <w:lang w:val="en-GB" w:eastAsia="en-AU" w:bidi="ar-SA"/>
        </w:rPr>
        <w:t>the P90 exposure represented a conservative estimate in that it was assumed all breakfast cereals eligible to add plant sterols contained the maximum amount proposed to be permitted</w:t>
      </w:r>
      <w:r w:rsidRPr="00F0687E">
        <w:rPr>
          <w:lang w:val="en-GB" w:eastAsia="en-AU" w:bidi="ar-SA"/>
        </w:rPr>
        <w:t xml:space="preserve">, it is unlikely that the P90 exposure estimates indicate a risk to the Australian population. </w:t>
      </w:r>
    </w:p>
    <w:p w14:paraId="7C3B6462" w14:textId="77777777" w:rsidR="00AA2853" w:rsidRPr="00552334" w:rsidRDefault="00AA2853" w:rsidP="00AA2853">
      <w:pPr>
        <w:rPr>
          <w:lang w:val="en-GB"/>
        </w:rPr>
      </w:pPr>
    </w:p>
    <w:p w14:paraId="0D8708C1" w14:textId="77777777" w:rsidR="00AA2853" w:rsidRDefault="00AA2853" w:rsidP="00AA2853">
      <w:pPr>
        <w:rPr>
          <w:lang w:val="en-GB"/>
        </w:rPr>
      </w:pPr>
      <w:r w:rsidRPr="00552334">
        <w:rPr>
          <w:lang w:val="en-GB"/>
        </w:rPr>
        <w:t>Given that no health based guidance value has been established for plant sterols to allow comparisons for risk characterisation purposes, the DEA supports the conclusion that addition of plant sterols at 2.2 g/serve to breakfast cereals would not pose a safety risk to the Australian and New Zealand populations.</w:t>
      </w:r>
    </w:p>
    <w:p w14:paraId="355E4D4C" w14:textId="77777777" w:rsidR="0051780C" w:rsidRPr="00F0687E" w:rsidRDefault="0051780C" w:rsidP="0051780C">
      <w:pPr>
        <w:rPr>
          <w:lang w:val="en-GB" w:eastAsia="en-AU" w:bidi="ar-SA"/>
        </w:rPr>
      </w:pPr>
    </w:p>
    <w:p w14:paraId="702899CC" w14:textId="77777777" w:rsidR="00724D8F" w:rsidRDefault="00724D8F" w:rsidP="002166FB">
      <w:pPr>
        <w:widowControl/>
        <w:spacing w:after="120"/>
        <w:rPr>
          <w:b/>
          <w:lang w:val="en-GB"/>
        </w:rPr>
      </w:pPr>
      <w:r>
        <w:rPr>
          <w:b/>
          <w:lang w:val="en-GB"/>
        </w:rPr>
        <w:br w:type="page"/>
      </w:r>
    </w:p>
    <w:p w14:paraId="43EC41B5" w14:textId="61F0DBAE" w:rsidR="0051780C" w:rsidRPr="00F0687E" w:rsidRDefault="0051780C" w:rsidP="002166FB">
      <w:pPr>
        <w:widowControl/>
        <w:spacing w:after="120"/>
        <w:rPr>
          <w:lang w:val="en-GB"/>
        </w:rPr>
      </w:pPr>
      <w:r w:rsidRPr="00F0687E">
        <w:rPr>
          <w:b/>
          <w:lang w:val="en-GB"/>
        </w:rPr>
        <w:lastRenderedPageBreak/>
        <w:t>Table 5</w:t>
      </w:r>
      <w:r>
        <w:rPr>
          <w:b/>
          <w:lang w:val="en-GB"/>
        </w:rPr>
        <w:t>:</w:t>
      </w:r>
      <w:r w:rsidRPr="00F0687E">
        <w:rPr>
          <w:b/>
          <w:lang w:val="en-GB"/>
        </w:rPr>
        <w:t xml:space="preserve"> Estimated total dietary exposure to plant sterols from foods with added plant sterols – results from scenario modelling assuming plant sterols added at the MPL</w:t>
      </w:r>
    </w:p>
    <w:tbl>
      <w:tblPr>
        <w:tblW w:w="8804" w:type="dxa"/>
        <w:tblInd w:w="93" w:type="dxa"/>
        <w:tblLayout w:type="fixed"/>
        <w:tblLook w:val="04A0" w:firstRow="1" w:lastRow="0" w:firstColumn="1" w:lastColumn="0" w:noHBand="0" w:noVBand="1"/>
      </w:tblPr>
      <w:tblGrid>
        <w:gridCol w:w="1149"/>
        <w:gridCol w:w="993"/>
        <w:gridCol w:w="1842"/>
        <w:gridCol w:w="1560"/>
        <w:gridCol w:w="850"/>
        <w:gridCol w:w="71"/>
        <w:gridCol w:w="638"/>
        <w:gridCol w:w="1701"/>
      </w:tblGrid>
      <w:tr w:rsidR="0051780C" w:rsidRPr="00552334" w14:paraId="7D1ABA15" w14:textId="77777777" w:rsidTr="00F0687E">
        <w:trPr>
          <w:trHeight w:val="864"/>
          <w:tblHeader/>
        </w:trPr>
        <w:tc>
          <w:tcPr>
            <w:tcW w:w="1149" w:type="dxa"/>
            <w:vMerge w:val="restart"/>
            <w:tcBorders>
              <w:top w:val="single" w:sz="4" w:space="0" w:color="auto"/>
            </w:tcBorders>
            <w:shd w:val="clear" w:color="auto" w:fill="auto"/>
            <w:vAlign w:val="center"/>
          </w:tcPr>
          <w:p w14:paraId="252CAD23" w14:textId="77777777" w:rsidR="0051780C" w:rsidRPr="00552334" w:rsidRDefault="0051780C" w:rsidP="00A573C4">
            <w:pPr>
              <w:rPr>
                <w:rFonts w:cs="Arial"/>
                <w:b/>
                <w:sz w:val="20"/>
                <w:szCs w:val="20"/>
                <w:lang w:val="en-GB"/>
              </w:rPr>
            </w:pPr>
            <w:r w:rsidRPr="00552334">
              <w:rPr>
                <w:rFonts w:cs="Arial"/>
                <w:b/>
                <w:sz w:val="20"/>
                <w:szCs w:val="20"/>
                <w:lang w:val="en-GB"/>
              </w:rPr>
              <w:t>Scenario</w:t>
            </w:r>
          </w:p>
        </w:tc>
        <w:tc>
          <w:tcPr>
            <w:tcW w:w="993" w:type="dxa"/>
            <w:vMerge w:val="restart"/>
            <w:tcBorders>
              <w:top w:val="single" w:sz="4" w:space="0" w:color="auto"/>
            </w:tcBorders>
            <w:shd w:val="clear" w:color="auto" w:fill="auto"/>
            <w:vAlign w:val="center"/>
          </w:tcPr>
          <w:p w14:paraId="3DFADD06" w14:textId="77777777" w:rsidR="0051780C" w:rsidRPr="00552334" w:rsidRDefault="0051780C" w:rsidP="00A573C4">
            <w:pPr>
              <w:rPr>
                <w:rFonts w:cs="Arial"/>
                <w:b/>
                <w:sz w:val="20"/>
                <w:szCs w:val="20"/>
                <w:lang w:val="en-GB"/>
              </w:rPr>
            </w:pPr>
            <w:r w:rsidRPr="00552334">
              <w:rPr>
                <w:rFonts w:cs="Arial"/>
                <w:b/>
                <w:sz w:val="20"/>
                <w:szCs w:val="20"/>
                <w:lang w:val="en-GB"/>
              </w:rPr>
              <w:t>Age groups</w:t>
            </w:r>
          </w:p>
          <w:p w14:paraId="5BFE09B1" w14:textId="77777777" w:rsidR="0051780C" w:rsidRPr="00E10D8F" w:rsidRDefault="0051780C" w:rsidP="00A573C4">
            <w:pPr>
              <w:rPr>
                <w:rFonts w:cs="Arial"/>
                <w:b/>
                <w:sz w:val="20"/>
                <w:szCs w:val="20"/>
                <w:lang w:val="en-GB"/>
              </w:rPr>
            </w:pPr>
            <w:r w:rsidRPr="00552334">
              <w:rPr>
                <w:rFonts w:cs="Arial"/>
                <w:b/>
                <w:sz w:val="20"/>
                <w:szCs w:val="20"/>
                <w:lang w:val="en-GB"/>
              </w:rPr>
              <w:t>(years)</w:t>
            </w:r>
          </w:p>
        </w:tc>
        <w:tc>
          <w:tcPr>
            <w:tcW w:w="1842" w:type="dxa"/>
            <w:vMerge w:val="restart"/>
            <w:tcBorders>
              <w:top w:val="single" w:sz="4" w:space="0" w:color="auto"/>
            </w:tcBorders>
            <w:shd w:val="clear" w:color="auto" w:fill="auto"/>
            <w:vAlign w:val="center"/>
          </w:tcPr>
          <w:p w14:paraId="3BC6B553" w14:textId="77777777" w:rsidR="0051780C" w:rsidRPr="00552334" w:rsidRDefault="0051780C" w:rsidP="00A573C4">
            <w:pPr>
              <w:jc w:val="center"/>
              <w:rPr>
                <w:rFonts w:cs="Arial"/>
                <w:b/>
                <w:sz w:val="20"/>
                <w:szCs w:val="20"/>
                <w:lang w:val="en-GB"/>
              </w:rPr>
            </w:pPr>
            <w:r w:rsidRPr="00552334">
              <w:rPr>
                <w:rFonts w:cs="Arial"/>
                <w:b/>
                <w:sz w:val="20"/>
                <w:szCs w:val="20"/>
                <w:lang w:val="en-GB"/>
              </w:rPr>
              <w:t>No. Consumers</w:t>
            </w:r>
          </w:p>
          <w:p w14:paraId="51270BD1" w14:textId="77777777" w:rsidR="0051780C" w:rsidRPr="00552334" w:rsidRDefault="0051780C" w:rsidP="00A573C4">
            <w:pPr>
              <w:jc w:val="center"/>
              <w:rPr>
                <w:rFonts w:cs="Arial"/>
                <w:b/>
                <w:sz w:val="20"/>
                <w:szCs w:val="20"/>
                <w:lang w:val="en-GB"/>
              </w:rPr>
            </w:pPr>
            <w:r w:rsidRPr="00552334">
              <w:rPr>
                <w:rFonts w:cs="Arial"/>
                <w:b/>
                <w:sz w:val="20"/>
                <w:szCs w:val="20"/>
                <w:lang w:val="en-GB"/>
              </w:rPr>
              <w:t>(No. Respondents)</w:t>
            </w:r>
          </w:p>
        </w:tc>
        <w:tc>
          <w:tcPr>
            <w:tcW w:w="1560" w:type="dxa"/>
            <w:vMerge w:val="restart"/>
            <w:tcBorders>
              <w:top w:val="single" w:sz="4" w:space="0" w:color="auto"/>
            </w:tcBorders>
            <w:shd w:val="clear" w:color="auto" w:fill="auto"/>
            <w:vAlign w:val="center"/>
          </w:tcPr>
          <w:p w14:paraId="61FD2285" w14:textId="77777777" w:rsidR="0051780C" w:rsidRPr="00552334" w:rsidRDefault="0051780C" w:rsidP="00A573C4">
            <w:pPr>
              <w:jc w:val="center"/>
              <w:rPr>
                <w:rFonts w:cs="Arial"/>
                <w:b/>
                <w:sz w:val="20"/>
                <w:szCs w:val="20"/>
                <w:lang w:val="en-GB"/>
              </w:rPr>
            </w:pPr>
            <w:r w:rsidRPr="00552334">
              <w:rPr>
                <w:rFonts w:cs="Arial"/>
                <w:b/>
                <w:sz w:val="20"/>
                <w:szCs w:val="20"/>
                <w:lang w:val="en-GB"/>
              </w:rPr>
              <w:t>%</w:t>
            </w:r>
          </w:p>
          <w:p w14:paraId="4722411A" w14:textId="77777777" w:rsidR="0051780C" w:rsidRPr="00552334" w:rsidRDefault="0051780C" w:rsidP="00A573C4">
            <w:pPr>
              <w:jc w:val="center"/>
              <w:rPr>
                <w:rFonts w:cs="Arial"/>
                <w:b/>
                <w:sz w:val="20"/>
                <w:szCs w:val="20"/>
                <w:lang w:val="en-GB"/>
              </w:rPr>
            </w:pPr>
            <w:r w:rsidRPr="00552334">
              <w:rPr>
                <w:rFonts w:cs="Arial"/>
                <w:b/>
                <w:sz w:val="20"/>
                <w:szCs w:val="20"/>
                <w:lang w:val="en-GB"/>
              </w:rPr>
              <w:t>Consumers</w:t>
            </w:r>
          </w:p>
          <w:p w14:paraId="082854CC" w14:textId="77777777" w:rsidR="0051780C" w:rsidRPr="00552334" w:rsidRDefault="0051780C" w:rsidP="00A573C4">
            <w:pPr>
              <w:jc w:val="center"/>
              <w:rPr>
                <w:rFonts w:cs="Arial"/>
                <w:b/>
                <w:sz w:val="20"/>
                <w:szCs w:val="20"/>
                <w:lang w:val="en-GB"/>
              </w:rPr>
            </w:pPr>
            <w:r w:rsidRPr="00552334">
              <w:rPr>
                <w:rFonts w:cs="Arial"/>
                <w:b/>
                <w:sz w:val="20"/>
                <w:szCs w:val="20"/>
                <w:lang w:val="en-GB"/>
              </w:rPr>
              <w:t>(as % of survey respondents)</w:t>
            </w:r>
          </w:p>
        </w:tc>
        <w:tc>
          <w:tcPr>
            <w:tcW w:w="1559" w:type="dxa"/>
            <w:gridSpan w:val="3"/>
            <w:tcBorders>
              <w:top w:val="single" w:sz="4" w:space="0" w:color="auto"/>
            </w:tcBorders>
            <w:shd w:val="clear" w:color="auto" w:fill="auto"/>
            <w:vAlign w:val="center"/>
          </w:tcPr>
          <w:p w14:paraId="18E80BB3" w14:textId="77777777" w:rsidR="00E12DD4" w:rsidRDefault="0051780C" w:rsidP="00E12DD4">
            <w:pPr>
              <w:jc w:val="center"/>
              <w:rPr>
                <w:rFonts w:cs="Arial"/>
                <w:b/>
                <w:sz w:val="20"/>
                <w:szCs w:val="20"/>
                <w:lang w:val="en-GB"/>
              </w:rPr>
            </w:pPr>
            <w:r w:rsidRPr="00552334">
              <w:rPr>
                <w:rFonts w:cs="Arial"/>
                <w:b/>
                <w:sz w:val="20"/>
                <w:szCs w:val="20"/>
                <w:lang w:val="en-GB"/>
              </w:rPr>
              <w:t>Estimated</w:t>
            </w:r>
          </w:p>
          <w:p w14:paraId="3D9C8A20" w14:textId="19158CA0" w:rsidR="0051780C" w:rsidRPr="00552334" w:rsidRDefault="0051780C" w:rsidP="00E12DD4">
            <w:pPr>
              <w:jc w:val="center"/>
              <w:rPr>
                <w:rFonts w:cs="Arial"/>
                <w:b/>
                <w:sz w:val="20"/>
                <w:szCs w:val="20"/>
                <w:lang w:val="en-GB"/>
              </w:rPr>
            </w:pPr>
            <w:r w:rsidRPr="00552334">
              <w:rPr>
                <w:rFonts w:cs="Arial"/>
                <w:b/>
                <w:sz w:val="20"/>
                <w:szCs w:val="20"/>
                <w:lang w:val="en-GB"/>
              </w:rPr>
              <w:t>total dietary exposure, consumers only*</w:t>
            </w:r>
          </w:p>
          <w:p w14:paraId="396BBCC0" w14:textId="77777777" w:rsidR="0051780C" w:rsidRPr="00552334" w:rsidRDefault="0051780C" w:rsidP="00E12DD4">
            <w:pPr>
              <w:jc w:val="center"/>
              <w:rPr>
                <w:rFonts w:cs="Arial"/>
                <w:b/>
                <w:sz w:val="20"/>
                <w:szCs w:val="20"/>
                <w:lang w:val="en-GB"/>
              </w:rPr>
            </w:pPr>
            <w:r w:rsidRPr="00552334">
              <w:rPr>
                <w:rFonts w:cs="Arial"/>
                <w:b/>
                <w:sz w:val="20"/>
                <w:szCs w:val="20"/>
                <w:lang w:val="en-GB"/>
              </w:rPr>
              <w:t>(g/day)</w:t>
            </w:r>
          </w:p>
        </w:tc>
        <w:tc>
          <w:tcPr>
            <w:tcW w:w="1701" w:type="dxa"/>
            <w:vMerge w:val="restart"/>
            <w:tcBorders>
              <w:top w:val="single" w:sz="4" w:space="0" w:color="auto"/>
            </w:tcBorders>
            <w:shd w:val="clear" w:color="auto" w:fill="auto"/>
            <w:vAlign w:val="center"/>
          </w:tcPr>
          <w:p w14:paraId="7534E465" w14:textId="77777777" w:rsidR="0051780C" w:rsidRPr="00552334" w:rsidRDefault="0051780C" w:rsidP="00A573C4">
            <w:pPr>
              <w:jc w:val="center"/>
              <w:rPr>
                <w:rFonts w:cs="Arial"/>
                <w:b/>
                <w:sz w:val="20"/>
                <w:szCs w:val="20"/>
                <w:lang w:val="en-GB"/>
              </w:rPr>
            </w:pPr>
            <w:r w:rsidRPr="00552334">
              <w:rPr>
                <w:rFonts w:cs="Arial"/>
                <w:b/>
                <w:sz w:val="20"/>
                <w:szCs w:val="20"/>
                <w:lang w:val="en-GB"/>
              </w:rPr>
              <w:t xml:space="preserve">Proportion of survey respondents with </w:t>
            </w:r>
          </w:p>
          <w:p w14:paraId="092ADDF2" w14:textId="37DF4584" w:rsidR="0051780C" w:rsidRPr="00552334" w:rsidRDefault="0051780C" w:rsidP="00A573C4">
            <w:pPr>
              <w:jc w:val="center"/>
              <w:rPr>
                <w:rFonts w:cs="Arial"/>
                <w:b/>
                <w:sz w:val="20"/>
                <w:szCs w:val="20"/>
                <w:lang w:val="en-GB"/>
              </w:rPr>
            </w:pPr>
            <w:r w:rsidRPr="00552334">
              <w:rPr>
                <w:rFonts w:cs="Arial"/>
                <w:b/>
                <w:sz w:val="20"/>
                <w:szCs w:val="20"/>
                <w:lang w:val="en-GB"/>
              </w:rPr>
              <w:t xml:space="preserve">exposure &gt; </w:t>
            </w:r>
            <w:r w:rsidR="00290E84">
              <w:rPr>
                <w:rFonts w:cs="Arial"/>
                <w:b/>
                <w:sz w:val="20"/>
                <w:szCs w:val="20"/>
                <w:lang w:val="en-GB"/>
              </w:rPr>
              <w:t>9</w:t>
            </w:r>
            <w:r w:rsidRPr="00552334">
              <w:rPr>
                <w:rFonts w:cs="Arial"/>
                <w:b/>
                <w:sz w:val="20"/>
                <w:szCs w:val="20"/>
                <w:lang w:val="en-GB"/>
              </w:rPr>
              <w:t xml:space="preserve"> g/day</w:t>
            </w:r>
          </w:p>
          <w:p w14:paraId="4C914BEE" w14:textId="77777777" w:rsidR="0051780C" w:rsidRPr="00552334" w:rsidRDefault="0051780C" w:rsidP="00A573C4">
            <w:pPr>
              <w:jc w:val="center"/>
              <w:rPr>
                <w:rFonts w:cs="Arial"/>
                <w:b/>
                <w:sz w:val="20"/>
                <w:szCs w:val="20"/>
                <w:lang w:val="en-GB"/>
              </w:rPr>
            </w:pPr>
            <w:r w:rsidRPr="00552334">
              <w:rPr>
                <w:rFonts w:cs="Arial"/>
                <w:b/>
                <w:sz w:val="20"/>
                <w:szCs w:val="20"/>
                <w:lang w:val="en-GB"/>
              </w:rPr>
              <w:t>(%)</w:t>
            </w:r>
          </w:p>
        </w:tc>
      </w:tr>
      <w:tr w:rsidR="0051780C" w:rsidRPr="00552334" w14:paraId="2FDFE6DF" w14:textId="77777777" w:rsidTr="00F0687E">
        <w:trPr>
          <w:trHeight w:val="529"/>
          <w:tblHeader/>
        </w:trPr>
        <w:tc>
          <w:tcPr>
            <w:tcW w:w="1149" w:type="dxa"/>
            <w:vMerge/>
            <w:tcBorders>
              <w:bottom w:val="single" w:sz="4" w:space="0" w:color="auto"/>
            </w:tcBorders>
            <w:shd w:val="clear" w:color="000000" w:fill="DCE6F1"/>
            <w:vAlign w:val="center"/>
            <w:hideMark/>
          </w:tcPr>
          <w:p w14:paraId="0561A28E" w14:textId="77777777" w:rsidR="0051780C" w:rsidRPr="00552334" w:rsidRDefault="0051780C" w:rsidP="00A573C4">
            <w:pPr>
              <w:rPr>
                <w:rFonts w:cs="Arial"/>
                <w:b/>
                <w:sz w:val="20"/>
                <w:szCs w:val="20"/>
                <w:lang w:val="en-GB"/>
              </w:rPr>
            </w:pPr>
          </w:p>
        </w:tc>
        <w:tc>
          <w:tcPr>
            <w:tcW w:w="993" w:type="dxa"/>
            <w:vMerge/>
            <w:tcBorders>
              <w:bottom w:val="single" w:sz="4" w:space="0" w:color="auto"/>
            </w:tcBorders>
            <w:shd w:val="clear" w:color="000000" w:fill="DCE6F1"/>
            <w:vAlign w:val="center"/>
            <w:hideMark/>
          </w:tcPr>
          <w:p w14:paraId="0DA5DCDC" w14:textId="77777777" w:rsidR="0051780C" w:rsidRPr="00552334" w:rsidRDefault="0051780C" w:rsidP="00A573C4">
            <w:pPr>
              <w:rPr>
                <w:rFonts w:cs="Arial"/>
                <w:b/>
                <w:sz w:val="20"/>
                <w:szCs w:val="20"/>
                <w:lang w:val="en-GB"/>
              </w:rPr>
            </w:pPr>
          </w:p>
        </w:tc>
        <w:tc>
          <w:tcPr>
            <w:tcW w:w="1842" w:type="dxa"/>
            <w:vMerge/>
            <w:tcBorders>
              <w:bottom w:val="single" w:sz="4" w:space="0" w:color="auto"/>
            </w:tcBorders>
            <w:shd w:val="clear" w:color="000000" w:fill="DCE6F1"/>
            <w:vAlign w:val="center"/>
            <w:hideMark/>
          </w:tcPr>
          <w:p w14:paraId="2F168B09" w14:textId="77777777" w:rsidR="0051780C" w:rsidRPr="00552334" w:rsidRDefault="0051780C" w:rsidP="00A573C4">
            <w:pPr>
              <w:rPr>
                <w:rFonts w:cs="Arial"/>
                <w:b/>
                <w:sz w:val="20"/>
                <w:szCs w:val="20"/>
                <w:lang w:val="en-GB"/>
              </w:rPr>
            </w:pPr>
          </w:p>
        </w:tc>
        <w:tc>
          <w:tcPr>
            <w:tcW w:w="1560" w:type="dxa"/>
            <w:vMerge/>
            <w:tcBorders>
              <w:bottom w:val="single" w:sz="4" w:space="0" w:color="auto"/>
            </w:tcBorders>
            <w:shd w:val="clear" w:color="000000" w:fill="DCE6F1"/>
            <w:vAlign w:val="center"/>
            <w:hideMark/>
          </w:tcPr>
          <w:p w14:paraId="0EE0AB12" w14:textId="77777777" w:rsidR="0051780C" w:rsidRPr="00552334" w:rsidRDefault="0051780C" w:rsidP="00A573C4">
            <w:pPr>
              <w:rPr>
                <w:rFonts w:cs="Arial"/>
                <w:b/>
                <w:sz w:val="20"/>
                <w:szCs w:val="20"/>
                <w:lang w:val="en-GB"/>
              </w:rPr>
            </w:pPr>
          </w:p>
        </w:tc>
        <w:tc>
          <w:tcPr>
            <w:tcW w:w="921" w:type="dxa"/>
            <w:gridSpan w:val="2"/>
            <w:tcBorders>
              <w:bottom w:val="single" w:sz="4" w:space="0" w:color="auto"/>
            </w:tcBorders>
            <w:shd w:val="clear" w:color="auto" w:fill="auto"/>
            <w:vAlign w:val="center"/>
            <w:hideMark/>
          </w:tcPr>
          <w:p w14:paraId="5C0F7A00" w14:textId="77777777" w:rsidR="0051780C" w:rsidRPr="00552334" w:rsidRDefault="0051780C" w:rsidP="00A573C4">
            <w:pPr>
              <w:jc w:val="center"/>
              <w:rPr>
                <w:rFonts w:cs="Arial"/>
                <w:b/>
                <w:sz w:val="20"/>
                <w:szCs w:val="20"/>
                <w:lang w:val="en-GB"/>
              </w:rPr>
            </w:pPr>
            <w:r w:rsidRPr="00552334">
              <w:rPr>
                <w:rFonts w:cs="Arial"/>
                <w:b/>
                <w:sz w:val="20"/>
                <w:szCs w:val="20"/>
                <w:lang w:val="en-GB"/>
              </w:rPr>
              <w:t>Mean</w:t>
            </w:r>
          </w:p>
        </w:tc>
        <w:tc>
          <w:tcPr>
            <w:tcW w:w="638" w:type="dxa"/>
            <w:tcBorders>
              <w:bottom w:val="single" w:sz="4" w:space="0" w:color="auto"/>
            </w:tcBorders>
            <w:shd w:val="clear" w:color="auto" w:fill="auto"/>
            <w:vAlign w:val="center"/>
            <w:hideMark/>
          </w:tcPr>
          <w:p w14:paraId="58C82F22" w14:textId="77777777" w:rsidR="0051780C" w:rsidRPr="00552334" w:rsidRDefault="0051780C" w:rsidP="00A573C4">
            <w:pPr>
              <w:jc w:val="center"/>
              <w:rPr>
                <w:rFonts w:cs="Arial"/>
                <w:b/>
                <w:sz w:val="20"/>
                <w:szCs w:val="20"/>
                <w:lang w:val="en-GB"/>
              </w:rPr>
            </w:pPr>
            <w:r w:rsidRPr="00552334">
              <w:rPr>
                <w:rFonts w:cs="Arial"/>
                <w:b/>
                <w:sz w:val="20"/>
                <w:szCs w:val="20"/>
                <w:lang w:val="en-GB"/>
              </w:rPr>
              <w:t>P90</w:t>
            </w:r>
          </w:p>
        </w:tc>
        <w:tc>
          <w:tcPr>
            <w:tcW w:w="1701" w:type="dxa"/>
            <w:vMerge/>
            <w:tcBorders>
              <w:bottom w:val="single" w:sz="4" w:space="0" w:color="auto"/>
            </w:tcBorders>
            <w:shd w:val="clear" w:color="000000" w:fill="DCE6F1"/>
            <w:vAlign w:val="center"/>
            <w:hideMark/>
          </w:tcPr>
          <w:p w14:paraId="12C52317" w14:textId="77777777" w:rsidR="0051780C" w:rsidRPr="00552334" w:rsidRDefault="0051780C" w:rsidP="00A573C4">
            <w:pPr>
              <w:rPr>
                <w:rFonts w:cs="Arial"/>
                <w:b/>
                <w:sz w:val="20"/>
                <w:szCs w:val="20"/>
                <w:lang w:val="en-GB"/>
              </w:rPr>
            </w:pPr>
          </w:p>
        </w:tc>
      </w:tr>
      <w:tr w:rsidR="0051780C" w:rsidRPr="00552334" w14:paraId="3DD5A74A" w14:textId="77777777" w:rsidTr="00A573C4">
        <w:trPr>
          <w:trHeight w:val="397"/>
        </w:trPr>
        <w:tc>
          <w:tcPr>
            <w:tcW w:w="1149" w:type="dxa"/>
            <w:vMerge w:val="restart"/>
            <w:tcBorders>
              <w:top w:val="single" w:sz="4" w:space="0" w:color="auto"/>
            </w:tcBorders>
            <w:shd w:val="clear" w:color="auto" w:fill="auto"/>
            <w:vAlign w:val="center"/>
            <w:hideMark/>
          </w:tcPr>
          <w:p w14:paraId="3BA8D7B9" w14:textId="77777777" w:rsidR="0051780C" w:rsidRPr="00552334" w:rsidRDefault="0051780C" w:rsidP="00A573C4">
            <w:pPr>
              <w:rPr>
                <w:rFonts w:cs="Arial"/>
                <w:sz w:val="20"/>
                <w:szCs w:val="20"/>
                <w:lang w:val="en-GB"/>
              </w:rPr>
            </w:pPr>
            <w:r w:rsidRPr="00552334">
              <w:rPr>
                <w:rFonts w:cs="Arial"/>
                <w:sz w:val="20"/>
                <w:szCs w:val="20"/>
                <w:lang w:val="en-GB"/>
              </w:rPr>
              <w:t>Baseline</w:t>
            </w:r>
          </w:p>
        </w:tc>
        <w:tc>
          <w:tcPr>
            <w:tcW w:w="993" w:type="dxa"/>
            <w:tcBorders>
              <w:top w:val="single" w:sz="4" w:space="0" w:color="auto"/>
            </w:tcBorders>
            <w:shd w:val="clear" w:color="auto" w:fill="auto"/>
            <w:vAlign w:val="center"/>
            <w:hideMark/>
          </w:tcPr>
          <w:p w14:paraId="57689E76" w14:textId="77777777" w:rsidR="0051780C" w:rsidRPr="00552334" w:rsidRDefault="0051780C" w:rsidP="00A573C4">
            <w:pPr>
              <w:rPr>
                <w:rFonts w:cs="Arial"/>
                <w:sz w:val="20"/>
                <w:szCs w:val="20"/>
                <w:lang w:val="en-GB"/>
              </w:rPr>
            </w:pPr>
            <w:r w:rsidRPr="00552334">
              <w:rPr>
                <w:rFonts w:cs="Arial"/>
                <w:sz w:val="20"/>
                <w:szCs w:val="20"/>
                <w:lang w:val="en-GB"/>
              </w:rPr>
              <w:t>2</w:t>
            </w:r>
            <w:r w:rsidRPr="00F0687E">
              <w:rPr>
                <w:sz w:val="20"/>
                <w:szCs w:val="20"/>
                <w:lang w:val="en-GB"/>
              </w:rPr>
              <w:t>–</w:t>
            </w:r>
            <w:r w:rsidRPr="00552334">
              <w:rPr>
                <w:rFonts w:cs="Arial"/>
                <w:sz w:val="20"/>
                <w:szCs w:val="20"/>
                <w:lang w:val="en-GB"/>
              </w:rPr>
              <w:t>4</w:t>
            </w:r>
          </w:p>
        </w:tc>
        <w:tc>
          <w:tcPr>
            <w:tcW w:w="1842" w:type="dxa"/>
            <w:tcBorders>
              <w:top w:val="single" w:sz="4" w:space="0" w:color="auto"/>
            </w:tcBorders>
            <w:shd w:val="clear" w:color="auto" w:fill="auto"/>
            <w:vAlign w:val="center"/>
            <w:hideMark/>
          </w:tcPr>
          <w:p w14:paraId="6393EEEE" w14:textId="77777777" w:rsidR="0051780C" w:rsidRPr="00552334" w:rsidRDefault="0051780C" w:rsidP="00A573C4">
            <w:pPr>
              <w:jc w:val="center"/>
              <w:rPr>
                <w:rFonts w:cs="Arial"/>
                <w:sz w:val="20"/>
                <w:szCs w:val="20"/>
                <w:lang w:val="en-GB"/>
              </w:rPr>
            </w:pPr>
            <w:r w:rsidRPr="00552334">
              <w:rPr>
                <w:rFonts w:cs="Arial"/>
                <w:sz w:val="20"/>
                <w:szCs w:val="20"/>
                <w:lang w:val="en-GB"/>
              </w:rPr>
              <w:t>7 (301)</w:t>
            </w:r>
          </w:p>
        </w:tc>
        <w:tc>
          <w:tcPr>
            <w:tcW w:w="1560" w:type="dxa"/>
            <w:tcBorders>
              <w:top w:val="single" w:sz="4" w:space="0" w:color="auto"/>
            </w:tcBorders>
            <w:shd w:val="clear" w:color="auto" w:fill="auto"/>
            <w:vAlign w:val="center"/>
            <w:hideMark/>
          </w:tcPr>
          <w:p w14:paraId="3D42070A" w14:textId="77777777" w:rsidR="0051780C" w:rsidRPr="00E10D8F" w:rsidRDefault="0051780C" w:rsidP="00A573C4">
            <w:pPr>
              <w:jc w:val="center"/>
              <w:rPr>
                <w:rFonts w:cs="Arial"/>
                <w:sz w:val="20"/>
                <w:szCs w:val="20"/>
                <w:lang w:val="en-GB"/>
              </w:rPr>
            </w:pPr>
            <w:r w:rsidRPr="00552334">
              <w:rPr>
                <w:rFonts w:cs="Arial"/>
                <w:sz w:val="20"/>
                <w:szCs w:val="20"/>
                <w:lang w:val="en-GB"/>
              </w:rPr>
              <w:t>2</w:t>
            </w:r>
          </w:p>
        </w:tc>
        <w:tc>
          <w:tcPr>
            <w:tcW w:w="850" w:type="dxa"/>
            <w:tcBorders>
              <w:top w:val="single" w:sz="4" w:space="0" w:color="auto"/>
            </w:tcBorders>
            <w:shd w:val="clear" w:color="auto" w:fill="auto"/>
            <w:noWrap/>
            <w:vAlign w:val="center"/>
            <w:hideMark/>
          </w:tcPr>
          <w:p w14:paraId="2914D7A9" w14:textId="77777777" w:rsidR="0051780C" w:rsidRPr="00552334" w:rsidRDefault="0051780C" w:rsidP="00A573C4">
            <w:pPr>
              <w:jc w:val="center"/>
              <w:rPr>
                <w:rFonts w:cs="Arial"/>
                <w:sz w:val="20"/>
                <w:szCs w:val="20"/>
                <w:lang w:val="en-GB"/>
              </w:rPr>
            </w:pPr>
            <w:r w:rsidRPr="00552334">
              <w:rPr>
                <w:rFonts w:cs="Arial"/>
                <w:sz w:val="20"/>
                <w:szCs w:val="20"/>
                <w:lang w:val="en-GB"/>
              </w:rPr>
              <w:t>0.25</w:t>
            </w:r>
          </w:p>
        </w:tc>
        <w:tc>
          <w:tcPr>
            <w:tcW w:w="709" w:type="dxa"/>
            <w:gridSpan w:val="2"/>
            <w:tcBorders>
              <w:top w:val="single" w:sz="4" w:space="0" w:color="auto"/>
            </w:tcBorders>
            <w:shd w:val="clear" w:color="auto" w:fill="auto"/>
            <w:noWrap/>
            <w:vAlign w:val="center"/>
            <w:hideMark/>
          </w:tcPr>
          <w:p w14:paraId="1FA23DBF" w14:textId="77777777" w:rsidR="0051780C" w:rsidRPr="00552334" w:rsidRDefault="0051780C" w:rsidP="00A573C4">
            <w:pPr>
              <w:jc w:val="center"/>
              <w:rPr>
                <w:rFonts w:cs="Arial"/>
                <w:sz w:val="20"/>
                <w:szCs w:val="20"/>
                <w:lang w:val="en-GB"/>
              </w:rPr>
            </w:pPr>
            <w:r w:rsidRPr="00552334">
              <w:rPr>
                <w:rFonts w:cs="Arial"/>
                <w:sz w:val="20"/>
                <w:szCs w:val="20"/>
                <w:lang w:val="en-GB"/>
              </w:rPr>
              <w:t>na</w:t>
            </w:r>
          </w:p>
        </w:tc>
        <w:tc>
          <w:tcPr>
            <w:tcW w:w="1701" w:type="dxa"/>
            <w:tcBorders>
              <w:top w:val="single" w:sz="4" w:space="0" w:color="auto"/>
            </w:tcBorders>
            <w:shd w:val="clear" w:color="auto" w:fill="auto"/>
            <w:noWrap/>
            <w:vAlign w:val="center"/>
            <w:hideMark/>
          </w:tcPr>
          <w:p w14:paraId="2E278993"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384F3296" w14:textId="77777777" w:rsidTr="00A573C4">
        <w:trPr>
          <w:trHeight w:val="397"/>
        </w:trPr>
        <w:tc>
          <w:tcPr>
            <w:tcW w:w="1149" w:type="dxa"/>
            <w:vMerge/>
            <w:shd w:val="clear" w:color="auto" w:fill="auto"/>
            <w:vAlign w:val="center"/>
            <w:hideMark/>
          </w:tcPr>
          <w:p w14:paraId="487FA862"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646BA405" w14:textId="77777777" w:rsidR="0051780C" w:rsidRPr="00552334" w:rsidRDefault="0051780C" w:rsidP="00A573C4">
            <w:pPr>
              <w:rPr>
                <w:rFonts w:cs="Arial"/>
                <w:sz w:val="20"/>
                <w:szCs w:val="20"/>
                <w:lang w:val="en-GB"/>
              </w:rPr>
            </w:pPr>
            <w:r w:rsidRPr="00552334">
              <w:rPr>
                <w:rFonts w:cs="Arial"/>
                <w:sz w:val="20"/>
                <w:szCs w:val="20"/>
                <w:lang w:val="en-GB"/>
              </w:rPr>
              <w:t>5</w:t>
            </w:r>
            <w:r w:rsidRPr="00F0687E">
              <w:rPr>
                <w:rFonts w:cs="Arial"/>
                <w:sz w:val="20"/>
                <w:szCs w:val="20"/>
                <w:lang w:val="en-GB"/>
              </w:rPr>
              <w:t>–</w:t>
            </w:r>
            <w:r w:rsidRPr="00552334">
              <w:rPr>
                <w:rFonts w:cs="Arial"/>
                <w:sz w:val="20"/>
                <w:szCs w:val="20"/>
                <w:lang w:val="en-GB"/>
              </w:rPr>
              <w:t>12</w:t>
            </w:r>
          </w:p>
        </w:tc>
        <w:tc>
          <w:tcPr>
            <w:tcW w:w="1842" w:type="dxa"/>
            <w:shd w:val="clear" w:color="auto" w:fill="auto"/>
            <w:vAlign w:val="center"/>
            <w:hideMark/>
          </w:tcPr>
          <w:p w14:paraId="10804DA7" w14:textId="77777777" w:rsidR="0051780C" w:rsidRPr="00552334" w:rsidRDefault="0051780C" w:rsidP="00A573C4">
            <w:pPr>
              <w:jc w:val="center"/>
              <w:rPr>
                <w:rFonts w:cs="Arial"/>
                <w:sz w:val="20"/>
                <w:szCs w:val="20"/>
                <w:lang w:val="en-GB"/>
              </w:rPr>
            </w:pPr>
            <w:r w:rsidRPr="00552334">
              <w:rPr>
                <w:rFonts w:cs="Arial"/>
                <w:sz w:val="20"/>
                <w:szCs w:val="20"/>
                <w:lang w:val="en-GB"/>
              </w:rPr>
              <w:t>22 (812)</w:t>
            </w:r>
          </w:p>
        </w:tc>
        <w:tc>
          <w:tcPr>
            <w:tcW w:w="1560" w:type="dxa"/>
            <w:shd w:val="clear" w:color="auto" w:fill="auto"/>
            <w:vAlign w:val="center"/>
            <w:hideMark/>
          </w:tcPr>
          <w:p w14:paraId="252FC07C" w14:textId="77777777" w:rsidR="0051780C" w:rsidRPr="00E10D8F" w:rsidRDefault="0051780C" w:rsidP="00A573C4">
            <w:pPr>
              <w:jc w:val="center"/>
              <w:rPr>
                <w:rFonts w:cs="Arial"/>
                <w:sz w:val="20"/>
                <w:szCs w:val="20"/>
                <w:lang w:val="en-GB"/>
              </w:rPr>
            </w:pPr>
            <w:r w:rsidRPr="00552334">
              <w:rPr>
                <w:rFonts w:cs="Arial"/>
                <w:sz w:val="20"/>
                <w:szCs w:val="20"/>
                <w:lang w:val="en-GB"/>
              </w:rPr>
              <w:t>3</w:t>
            </w:r>
          </w:p>
        </w:tc>
        <w:tc>
          <w:tcPr>
            <w:tcW w:w="850" w:type="dxa"/>
            <w:shd w:val="clear" w:color="auto" w:fill="auto"/>
            <w:noWrap/>
            <w:vAlign w:val="center"/>
            <w:hideMark/>
          </w:tcPr>
          <w:p w14:paraId="33F80D18" w14:textId="77777777" w:rsidR="0051780C" w:rsidRPr="00552334" w:rsidRDefault="0051780C" w:rsidP="00A573C4">
            <w:pPr>
              <w:jc w:val="center"/>
              <w:rPr>
                <w:rFonts w:cs="Arial"/>
                <w:sz w:val="20"/>
                <w:szCs w:val="20"/>
                <w:lang w:val="en-GB"/>
              </w:rPr>
            </w:pPr>
            <w:r w:rsidRPr="00552334">
              <w:rPr>
                <w:rFonts w:cs="Arial"/>
                <w:sz w:val="20"/>
                <w:szCs w:val="20"/>
                <w:lang w:val="en-GB"/>
              </w:rPr>
              <w:t>0.35</w:t>
            </w:r>
          </w:p>
        </w:tc>
        <w:tc>
          <w:tcPr>
            <w:tcW w:w="709" w:type="dxa"/>
            <w:gridSpan w:val="2"/>
            <w:shd w:val="clear" w:color="auto" w:fill="auto"/>
            <w:noWrap/>
            <w:vAlign w:val="center"/>
            <w:hideMark/>
          </w:tcPr>
          <w:p w14:paraId="4E1B2676" w14:textId="77777777" w:rsidR="0051780C" w:rsidRPr="00552334" w:rsidRDefault="0051780C" w:rsidP="00A573C4">
            <w:pPr>
              <w:jc w:val="center"/>
              <w:rPr>
                <w:rFonts w:cs="Arial"/>
                <w:sz w:val="20"/>
                <w:szCs w:val="20"/>
                <w:lang w:val="en-GB"/>
              </w:rPr>
            </w:pPr>
            <w:r w:rsidRPr="00552334">
              <w:rPr>
                <w:rFonts w:cs="Arial"/>
                <w:sz w:val="20"/>
                <w:szCs w:val="20"/>
                <w:lang w:val="en-GB"/>
              </w:rPr>
              <w:t>0.78</w:t>
            </w:r>
          </w:p>
        </w:tc>
        <w:tc>
          <w:tcPr>
            <w:tcW w:w="1701" w:type="dxa"/>
            <w:shd w:val="clear" w:color="auto" w:fill="auto"/>
            <w:noWrap/>
            <w:vAlign w:val="center"/>
            <w:hideMark/>
          </w:tcPr>
          <w:p w14:paraId="029F676B"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79BA28C9" w14:textId="77777777" w:rsidTr="00A573C4">
        <w:trPr>
          <w:trHeight w:val="397"/>
        </w:trPr>
        <w:tc>
          <w:tcPr>
            <w:tcW w:w="1149" w:type="dxa"/>
            <w:vMerge/>
            <w:shd w:val="clear" w:color="auto" w:fill="auto"/>
            <w:vAlign w:val="center"/>
            <w:hideMark/>
          </w:tcPr>
          <w:p w14:paraId="51547F9B"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31B0495B" w14:textId="77777777" w:rsidR="0051780C" w:rsidRPr="00552334" w:rsidRDefault="0051780C" w:rsidP="00A573C4">
            <w:pPr>
              <w:rPr>
                <w:rFonts w:cs="Arial"/>
                <w:sz w:val="20"/>
                <w:szCs w:val="20"/>
                <w:lang w:val="en-GB"/>
              </w:rPr>
            </w:pPr>
            <w:r w:rsidRPr="00552334">
              <w:rPr>
                <w:rFonts w:cs="Arial"/>
                <w:sz w:val="20"/>
                <w:szCs w:val="20"/>
                <w:lang w:val="en-GB"/>
              </w:rPr>
              <w:t>13</w:t>
            </w:r>
            <w:r w:rsidRPr="00F0687E">
              <w:rPr>
                <w:rFonts w:cs="Arial"/>
                <w:sz w:val="20"/>
                <w:szCs w:val="20"/>
                <w:lang w:val="en-GB"/>
              </w:rPr>
              <w:t>–</w:t>
            </w:r>
            <w:r w:rsidRPr="00552334">
              <w:rPr>
                <w:rFonts w:cs="Arial"/>
                <w:sz w:val="20"/>
                <w:szCs w:val="20"/>
                <w:lang w:val="en-GB"/>
              </w:rPr>
              <w:t>17</w:t>
            </w:r>
          </w:p>
        </w:tc>
        <w:tc>
          <w:tcPr>
            <w:tcW w:w="1842" w:type="dxa"/>
            <w:shd w:val="clear" w:color="auto" w:fill="auto"/>
            <w:vAlign w:val="center"/>
            <w:hideMark/>
          </w:tcPr>
          <w:p w14:paraId="52FAFF0D" w14:textId="77777777" w:rsidR="0051780C" w:rsidRPr="00552334" w:rsidRDefault="0051780C" w:rsidP="00A573C4">
            <w:pPr>
              <w:jc w:val="center"/>
              <w:rPr>
                <w:rFonts w:cs="Arial"/>
                <w:sz w:val="20"/>
                <w:szCs w:val="20"/>
                <w:lang w:val="en-GB"/>
              </w:rPr>
            </w:pPr>
            <w:r w:rsidRPr="00552334">
              <w:rPr>
                <w:rFonts w:cs="Arial"/>
                <w:sz w:val="20"/>
                <w:szCs w:val="20"/>
                <w:lang w:val="en-GB"/>
              </w:rPr>
              <w:t>15 (494)</w:t>
            </w:r>
          </w:p>
        </w:tc>
        <w:tc>
          <w:tcPr>
            <w:tcW w:w="1560" w:type="dxa"/>
            <w:shd w:val="clear" w:color="auto" w:fill="auto"/>
            <w:vAlign w:val="center"/>
            <w:hideMark/>
          </w:tcPr>
          <w:p w14:paraId="02176B25" w14:textId="77777777" w:rsidR="0051780C" w:rsidRPr="00E10D8F" w:rsidRDefault="0051780C" w:rsidP="00A573C4">
            <w:pPr>
              <w:jc w:val="center"/>
              <w:rPr>
                <w:rFonts w:cs="Arial"/>
                <w:sz w:val="20"/>
                <w:szCs w:val="20"/>
                <w:lang w:val="en-GB"/>
              </w:rPr>
            </w:pPr>
            <w:r w:rsidRPr="00552334">
              <w:rPr>
                <w:rFonts w:cs="Arial"/>
                <w:sz w:val="20"/>
                <w:szCs w:val="20"/>
                <w:lang w:val="en-GB"/>
              </w:rPr>
              <w:t>3</w:t>
            </w:r>
          </w:p>
        </w:tc>
        <w:tc>
          <w:tcPr>
            <w:tcW w:w="850" w:type="dxa"/>
            <w:shd w:val="clear" w:color="auto" w:fill="auto"/>
            <w:noWrap/>
            <w:vAlign w:val="center"/>
            <w:hideMark/>
          </w:tcPr>
          <w:p w14:paraId="5776209D" w14:textId="77777777" w:rsidR="0051780C" w:rsidRPr="00552334" w:rsidRDefault="0051780C" w:rsidP="00A573C4">
            <w:pPr>
              <w:jc w:val="center"/>
              <w:rPr>
                <w:rFonts w:cs="Arial"/>
                <w:sz w:val="20"/>
                <w:szCs w:val="20"/>
                <w:lang w:val="en-GB"/>
              </w:rPr>
            </w:pPr>
            <w:r w:rsidRPr="00552334">
              <w:rPr>
                <w:rFonts w:cs="Arial"/>
                <w:sz w:val="20"/>
                <w:szCs w:val="20"/>
                <w:lang w:val="en-GB"/>
              </w:rPr>
              <w:t>0.98</w:t>
            </w:r>
          </w:p>
        </w:tc>
        <w:tc>
          <w:tcPr>
            <w:tcW w:w="709" w:type="dxa"/>
            <w:gridSpan w:val="2"/>
            <w:shd w:val="clear" w:color="auto" w:fill="auto"/>
            <w:noWrap/>
            <w:vAlign w:val="center"/>
            <w:hideMark/>
          </w:tcPr>
          <w:p w14:paraId="69CE0D63" w14:textId="77777777" w:rsidR="0051780C" w:rsidRPr="00552334" w:rsidRDefault="0051780C" w:rsidP="00A573C4">
            <w:pPr>
              <w:jc w:val="center"/>
              <w:rPr>
                <w:rFonts w:cs="Arial"/>
                <w:sz w:val="20"/>
                <w:szCs w:val="20"/>
                <w:lang w:val="en-GB"/>
              </w:rPr>
            </w:pPr>
            <w:r w:rsidRPr="00552334">
              <w:rPr>
                <w:rFonts w:cs="Arial"/>
                <w:sz w:val="20"/>
                <w:szCs w:val="20"/>
                <w:lang w:val="en-GB"/>
              </w:rPr>
              <w:t>1.95</w:t>
            </w:r>
          </w:p>
        </w:tc>
        <w:tc>
          <w:tcPr>
            <w:tcW w:w="1701" w:type="dxa"/>
            <w:shd w:val="clear" w:color="auto" w:fill="auto"/>
            <w:noWrap/>
            <w:vAlign w:val="center"/>
            <w:hideMark/>
          </w:tcPr>
          <w:p w14:paraId="20E48474"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3BB8397C" w14:textId="77777777" w:rsidTr="00A573C4">
        <w:trPr>
          <w:trHeight w:val="397"/>
        </w:trPr>
        <w:tc>
          <w:tcPr>
            <w:tcW w:w="1149" w:type="dxa"/>
            <w:vMerge/>
            <w:shd w:val="clear" w:color="auto" w:fill="auto"/>
            <w:vAlign w:val="center"/>
            <w:hideMark/>
          </w:tcPr>
          <w:p w14:paraId="75BB8E45"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374DD272" w14:textId="77777777" w:rsidR="0051780C" w:rsidRPr="00552334" w:rsidRDefault="0051780C" w:rsidP="00A573C4">
            <w:pPr>
              <w:rPr>
                <w:rFonts w:cs="Arial"/>
                <w:sz w:val="20"/>
                <w:szCs w:val="20"/>
                <w:lang w:val="en-GB"/>
              </w:rPr>
            </w:pPr>
            <w:r w:rsidRPr="00552334">
              <w:rPr>
                <w:rFonts w:cs="Arial"/>
                <w:sz w:val="20"/>
                <w:szCs w:val="20"/>
                <w:lang w:val="en-GB"/>
              </w:rPr>
              <w:t>18</w:t>
            </w:r>
            <w:r w:rsidRPr="00F0687E">
              <w:rPr>
                <w:rFonts w:cs="Arial"/>
                <w:sz w:val="20"/>
                <w:szCs w:val="20"/>
                <w:lang w:val="en-GB"/>
              </w:rPr>
              <w:t>–</w:t>
            </w:r>
            <w:r w:rsidRPr="00552334">
              <w:rPr>
                <w:rFonts w:cs="Arial"/>
                <w:sz w:val="20"/>
                <w:szCs w:val="20"/>
                <w:lang w:val="en-GB"/>
              </w:rPr>
              <w:t>44</w:t>
            </w:r>
          </w:p>
        </w:tc>
        <w:tc>
          <w:tcPr>
            <w:tcW w:w="1842" w:type="dxa"/>
            <w:shd w:val="clear" w:color="auto" w:fill="auto"/>
            <w:vAlign w:val="center"/>
            <w:hideMark/>
          </w:tcPr>
          <w:p w14:paraId="3F8F301D" w14:textId="77777777" w:rsidR="0051780C" w:rsidRPr="00552334" w:rsidRDefault="0051780C" w:rsidP="00A573C4">
            <w:pPr>
              <w:jc w:val="center"/>
              <w:rPr>
                <w:rFonts w:cs="Arial"/>
                <w:sz w:val="20"/>
                <w:szCs w:val="20"/>
                <w:lang w:val="en-GB"/>
              </w:rPr>
            </w:pPr>
            <w:r w:rsidRPr="00552334">
              <w:rPr>
                <w:rFonts w:cs="Arial"/>
                <w:sz w:val="20"/>
                <w:szCs w:val="20"/>
                <w:lang w:val="en-GB"/>
              </w:rPr>
              <w:t>81 (3066)</w:t>
            </w:r>
          </w:p>
        </w:tc>
        <w:tc>
          <w:tcPr>
            <w:tcW w:w="1560" w:type="dxa"/>
            <w:shd w:val="clear" w:color="auto" w:fill="auto"/>
            <w:vAlign w:val="center"/>
            <w:hideMark/>
          </w:tcPr>
          <w:p w14:paraId="7335940F" w14:textId="77777777" w:rsidR="0051780C" w:rsidRPr="00E10D8F" w:rsidRDefault="0051780C" w:rsidP="00A573C4">
            <w:pPr>
              <w:jc w:val="center"/>
              <w:rPr>
                <w:rFonts w:cs="Arial"/>
                <w:sz w:val="20"/>
                <w:szCs w:val="20"/>
                <w:lang w:val="en-GB"/>
              </w:rPr>
            </w:pPr>
            <w:r w:rsidRPr="00552334">
              <w:rPr>
                <w:rFonts w:cs="Arial"/>
                <w:sz w:val="20"/>
                <w:szCs w:val="20"/>
                <w:lang w:val="en-GB"/>
              </w:rPr>
              <w:t>3</w:t>
            </w:r>
          </w:p>
        </w:tc>
        <w:tc>
          <w:tcPr>
            <w:tcW w:w="850" w:type="dxa"/>
            <w:shd w:val="clear" w:color="auto" w:fill="auto"/>
            <w:noWrap/>
            <w:vAlign w:val="center"/>
            <w:hideMark/>
          </w:tcPr>
          <w:p w14:paraId="697E073F" w14:textId="77777777" w:rsidR="0051780C" w:rsidRPr="00552334" w:rsidRDefault="0051780C" w:rsidP="00A573C4">
            <w:pPr>
              <w:jc w:val="center"/>
              <w:rPr>
                <w:rFonts w:cs="Arial"/>
                <w:sz w:val="20"/>
                <w:szCs w:val="20"/>
                <w:lang w:val="en-GB"/>
              </w:rPr>
            </w:pPr>
            <w:r w:rsidRPr="00552334">
              <w:rPr>
                <w:rFonts w:cs="Arial"/>
                <w:sz w:val="20"/>
                <w:szCs w:val="20"/>
                <w:lang w:val="en-GB"/>
              </w:rPr>
              <w:t>0.37</w:t>
            </w:r>
          </w:p>
        </w:tc>
        <w:tc>
          <w:tcPr>
            <w:tcW w:w="709" w:type="dxa"/>
            <w:gridSpan w:val="2"/>
            <w:shd w:val="clear" w:color="auto" w:fill="auto"/>
            <w:noWrap/>
            <w:vAlign w:val="center"/>
            <w:hideMark/>
          </w:tcPr>
          <w:p w14:paraId="22E8E936" w14:textId="77777777" w:rsidR="0051780C" w:rsidRPr="00552334" w:rsidRDefault="0051780C" w:rsidP="00A573C4">
            <w:pPr>
              <w:jc w:val="center"/>
              <w:rPr>
                <w:rFonts w:cs="Arial"/>
                <w:sz w:val="20"/>
                <w:szCs w:val="20"/>
                <w:lang w:val="en-GB"/>
              </w:rPr>
            </w:pPr>
            <w:r w:rsidRPr="00552334">
              <w:rPr>
                <w:rFonts w:cs="Arial"/>
                <w:sz w:val="20"/>
                <w:szCs w:val="20"/>
                <w:lang w:val="en-GB"/>
              </w:rPr>
              <w:t>0.78</w:t>
            </w:r>
          </w:p>
        </w:tc>
        <w:tc>
          <w:tcPr>
            <w:tcW w:w="1701" w:type="dxa"/>
            <w:shd w:val="clear" w:color="auto" w:fill="auto"/>
            <w:noWrap/>
            <w:vAlign w:val="center"/>
            <w:hideMark/>
          </w:tcPr>
          <w:p w14:paraId="5C47709E"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5D9BC797" w14:textId="77777777" w:rsidTr="00A573C4">
        <w:trPr>
          <w:trHeight w:val="397"/>
        </w:trPr>
        <w:tc>
          <w:tcPr>
            <w:tcW w:w="1149" w:type="dxa"/>
            <w:vMerge/>
            <w:shd w:val="clear" w:color="auto" w:fill="auto"/>
            <w:vAlign w:val="center"/>
            <w:hideMark/>
          </w:tcPr>
          <w:p w14:paraId="25822CF4" w14:textId="77777777" w:rsidR="0051780C" w:rsidRPr="00552334" w:rsidRDefault="0051780C" w:rsidP="00A573C4">
            <w:pPr>
              <w:rPr>
                <w:rFonts w:cs="Arial"/>
                <w:sz w:val="20"/>
                <w:szCs w:val="20"/>
                <w:lang w:val="en-GB"/>
              </w:rPr>
            </w:pPr>
          </w:p>
        </w:tc>
        <w:tc>
          <w:tcPr>
            <w:tcW w:w="993" w:type="dxa"/>
            <w:shd w:val="clear" w:color="auto" w:fill="auto"/>
            <w:vAlign w:val="center"/>
            <w:hideMark/>
          </w:tcPr>
          <w:p w14:paraId="0E035D7E" w14:textId="77777777" w:rsidR="0051780C" w:rsidRPr="00552334" w:rsidRDefault="0051780C" w:rsidP="00A573C4">
            <w:pPr>
              <w:rPr>
                <w:rFonts w:cs="Arial"/>
                <w:sz w:val="20"/>
                <w:szCs w:val="20"/>
                <w:lang w:val="en-GB"/>
              </w:rPr>
            </w:pPr>
            <w:r w:rsidRPr="00552334">
              <w:rPr>
                <w:rFonts w:cs="Arial"/>
                <w:sz w:val="20"/>
                <w:szCs w:val="20"/>
                <w:lang w:val="en-GB"/>
              </w:rPr>
              <w:t>45</w:t>
            </w:r>
            <w:r w:rsidRPr="00F0687E">
              <w:rPr>
                <w:rFonts w:cs="Arial"/>
                <w:sz w:val="20"/>
                <w:szCs w:val="20"/>
                <w:lang w:val="en-GB"/>
              </w:rPr>
              <w:t>–</w:t>
            </w:r>
            <w:r w:rsidRPr="00552334">
              <w:rPr>
                <w:rFonts w:cs="Arial"/>
                <w:sz w:val="20"/>
                <w:szCs w:val="20"/>
                <w:lang w:val="en-GB"/>
              </w:rPr>
              <w:t>85</w:t>
            </w:r>
          </w:p>
        </w:tc>
        <w:tc>
          <w:tcPr>
            <w:tcW w:w="1842" w:type="dxa"/>
            <w:shd w:val="clear" w:color="auto" w:fill="auto"/>
            <w:vAlign w:val="center"/>
            <w:hideMark/>
          </w:tcPr>
          <w:p w14:paraId="32265DE0" w14:textId="77777777" w:rsidR="0051780C" w:rsidRPr="00552334" w:rsidRDefault="0051780C" w:rsidP="00A573C4">
            <w:pPr>
              <w:jc w:val="center"/>
              <w:rPr>
                <w:rFonts w:cs="Arial"/>
                <w:sz w:val="20"/>
                <w:szCs w:val="20"/>
                <w:lang w:val="en-GB"/>
              </w:rPr>
            </w:pPr>
            <w:r w:rsidRPr="00552334">
              <w:rPr>
                <w:rFonts w:cs="Arial"/>
                <w:sz w:val="20"/>
                <w:szCs w:val="20"/>
                <w:lang w:val="en-GB"/>
              </w:rPr>
              <w:t>298 (3062)</w:t>
            </w:r>
          </w:p>
        </w:tc>
        <w:tc>
          <w:tcPr>
            <w:tcW w:w="1560" w:type="dxa"/>
            <w:shd w:val="clear" w:color="auto" w:fill="auto"/>
            <w:vAlign w:val="center"/>
            <w:hideMark/>
          </w:tcPr>
          <w:p w14:paraId="04EC2F93" w14:textId="77777777" w:rsidR="0051780C" w:rsidRPr="00E10D8F" w:rsidRDefault="0051780C" w:rsidP="00A573C4">
            <w:pPr>
              <w:jc w:val="center"/>
              <w:rPr>
                <w:rFonts w:cs="Arial"/>
                <w:sz w:val="20"/>
                <w:szCs w:val="20"/>
                <w:lang w:val="en-GB"/>
              </w:rPr>
            </w:pPr>
            <w:r w:rsidRPr="00552334">
              <w:rPr>
                <w:rFonts w:cs="Arial"/>
                <w:sz w:val="20"/>
                <w:szCs w:val="20"/>
                <w:lang w:val="en-GB"/>
              </w:rPr>
              <w:t>10</w:t>
            </w:r>
          </w:p>
        </w:tc>
        <w:tc>
          <w:tcPr>
            <w:tcW w:w="850" w:type="dxa"/>
            <w:shd w:val="clear" w:color="auto" w:fill="auto"/>
            <w:noWrap/>
            <w:vAlign w:val="center"/>
            <w:hideMark/>
          </w:tcPr>
          <w:p w14:paraId="73E9BBAB" w14:textId="77777777" w:rsidR="0051780C" w:rsidRPr="00552334" w:rsidRDefault="0051780C" w:rsidP="00A573C4">
            <w:pPr>
              <w:jc w:val="center"/>
              <w:rPr>
                <w:rFonts w:cs="Arial"/>
                <w:sz w:val="20"/>
                <w:szCs w:val="20"/>
                <w:lang w:val="en-GB"/>
              </w:rPr>
            </w:pPr>
            <w:r w:rsidRPr="00552334">
              <w:rPr>
                <w:rFonts w:cs="Arial"/>
                <w:sz w:val="20"/>
                <w:szCs w:val="20"/>
                <w:lang w:val="en-GB"/>
              </w:rPr>
              <w:t>0.62</w:t>
            </w:r>
          </w:p>
        </w:tc>
        <w:tc>
          <w:tcPr>
            <w:tcW w:w="709" w:type="dxa"/>
            <w:gridSpan w:val="2"/>
            <w:shd w:val="clear" w:color="auto" w:fill="auto"/>
            <w:noWrap/>
            <w:vAlign w:val="center"/>
            <w:hideMark/>
          </w:tcPr>
          <w:p w14:paraId="68D181D6" w14:textId="77777777" w:rsidR="0051780C" w:rsidRPr="00552334" w:rsidRDefault="0051780C" w:rsidP="00A573C4">
            <w:pPr>
              <w:jc w:val="center"/>
              <w:rPr>
                <w:rFonts w:cs="Arial"/>
                <w:sz w:val="20"/>
                <w:szCs w:val="20"/>
                <w:lang w:val="en-GB"/>
              </w:rPr>
            </w:pPr>
            <w:r w:rsidRPr="00552334">
              <w:rPr>
                <w:rFonts w:cs="Arial"/>
                <w:sz w:val="20"/>
                <w:szCs w:val="20"/>
                <w:lang w:val="en-GB"/>
              </w:rPr>
              <w:t>1.17</w:t>
            </w:r>
          </w:p>
        </w:tc>
        <w:tc>
          <w:tcPr>
            <w:tcW w:w="1701" w:type="dxa"/>
            <w:shd w:val="clear" w:color="auto" w:fill="auto"/>
            <w:noWrap/>
            <w:vAlign w:val="center"/>
            <w:hideMark/>
          </w:tcPr>
          <w:p w14:paraId="486ECC2D"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47AC1440" w14:textId="77777777" w:rsidTr="00A573C4">
        <w:trPr>
          <w:trHeight w:val="397"/>
        </w:trPr>
        <w:tc>
          <w:tcPr>
            <w:tcW w:w="1149" w:type="dxa"/>
            <w:vMerge/>
            <w:tcBorders>
              <w:bottom w:val="single" w:sz="4" w:space="0" w:color="auto"/>
            </w:tcBorders>
            <w:shd w:val="clear" w:color="auto" w:fill="auto"/>
            <w:vAlign w:val="center"/>
            <w:hideMark/>
          </w:tcPr>
          <w:p w14:paraId="3C44E59D" w14:textId="77777777" w:rsidR="0051780C" w:rsidRPr="00552334" w:rsidRDefault="0051780C" w:rsidP="00A573C4">
            <w:pPr>
              <w:rPr>
                <w:rFonts w:cs="Arial"/>
                <w:sz w:val="20"/>
                <w:szCs w:val="20"/>
                <w:lang w:val="en-GB"/>
              </w:rPr>
            </w:pPr>
          </w:p>
        </w:tc>
        <w:tc>
          <w:tcPr>
            <w:tcW w:w="993" w:type="dxa"/>
            <w:tcBorders>
              <w:bottom w:val="single" w:sz="4" w:space="0" w:color="auto"/>
            </w:tcBorders>
            <w:shd w:val="clear" w:color="auto" w:fill="auto"/>
            <w:vAlign w:val="center"/>
            <w:hideMark/>
          </w:tcPr>
          <w:p w14:paraId="3A29983E" w14:textId="77777777" w:rsidR="0051780C" w:rsidRPr="00552334" w:rsidRDefault="0051780C" w:rsidP="00A573C4">
            <w:pPr>
              <w:rPr>
                <w:rFonts w:cs="Arial"/>
                <w:sz w:val="20"/>
                <w:szCs w:val="20"/>
                <w:lang w:val="en-GB"/>
              </w:rPr>
            </w:pPr>
            <w:r w:rsidRPr="00552334">
              <w:rPr>
                <w:rFonts w:cs="Arial"/>
                <w:sz w:val="20"/>
                <w:szCs w:val="20"/>
                <w:lang w:val="en-GB"/>
              </w:rPr>
              <w:t>2+</w:t>
            </w:r>
          </w:p>
        </w:tc>
        <w:tc>
          <w:tcPr>
            <w:tcW w:w="1842" w:type="dxa"/>
            <w:tcBorders>
              <w:bottom w:val="single" w:sz="4" w:space="0" w:color="auto"/>
            </w:tcBorders>
            <w:shd w:val="clear" w:color="auto" w:fill="auto"/>
            <w:vAlign w:val="center"/>
            <w:hideMark/>
          </w:tcPr>
          <w:p w14:paraId="68C2650D" w14:textId="77777777" w:rsidR="0051780C" w:rsidRPr="00552334" w:rsidRDefault="0051780C" w:rsidP="00A573C4">
            <w:pPr>
              <w:jc w:val="center"/>
              <w:rPr>
                <w:rFonts w:cs="Arial"/>
                <w:sz w:val="20"/>
                <w:szCs w:val="20"/>
                <w:lang w:val="en-GB"/>
              </w:rPr>
            </w:pPr>
            <w:r w:rsidRPr="00552334">
              <w:rPr>
                <w:rFonts w:cs="Arial"/>
                <w:sz w:val="20"/>
                <w:szCs w:val="20"/>
                <w:lang w:val="en-GB"/>
              </w:rPr>
              <w:t>422 (7735)</w:t>
            </w:r>
          </w:p>
        </w:tc>
        <w:tc>
          <w:tcPr>
            <w:tcW w:w="1560" w:type="dxa"/>
            <w:tcBorders>
              <w:bottom w:val="single" w:sz="4" w:space="0" w:color="auto"/>
            </w:tcBorders>
            <w:shd w:val="clear" w:color="auto" w:fill="auto"/>
            <w:vAlign w:val="center"/>
            <w:hideMark/>
          </w:tcPr>
          <w:p w14:paraId="04AB9E76" w14:textId="77777777" w:rsidR="0051780C" w:rsidRPr="00552334" w:rsidRDefault="0051780C" w:rsidP="00A573C4">
            <w:pPr>
              <w:jc w:val="center"/>
              <w:rPr>
                <w:rFonts w:cs="Arial"/>
                <w:sz w:val="20"/>
                <w:szCs w:val="20"/>
                <w:lang w:val="en-GB"/>
              </w:rPr>
            </w:pPr>
            <w:r w:rsidRPr="00552334">
              <w:rPr>
                <w:rFonts w:cs="Arial"/>
                <w:sz w:val="20"/>
                <w:szCs w:val="20"/>
                <w:lang w:val="en-GB"/>
              </w:rPr>
              <w:t>5</w:t>
            </w:r>
          </w:p>
        </w:tc>
        <w:tc>
          <w:tcPr>
            <w:tcW w:w="850" w:type="dxa"/>
            <w:tcBorders>
              <w:bottom w:val="single" w:sz="4" w:space="0" w:color="auto"/>
            </w:tcBorders>
            <w:shd w:val="clear" w:color="auto" w:fill="auto"/>
            <w:noWrap/>
            <w:vAlign w:val="center"/>
            <w:hideMark/>
          </w:tcPr>
          <w:p w14:paraId="46EAB636" w14:textId="77777777" w:rsidR="0051780C" w:rsidRPr="00552334" w:rsidRDefault="0051780C" w:rsidP="00A573C4">
            <w:pPr>
              <w:jc w:val="center"/>
              <w:rPr>
                <w:rFonts w:cs="Arial"/>
                <w:sz w:val="20"/>
                <w:szCs w:val="20"/>
                <w:lang w:val="en-GB"/>
              </w:rPr>
            </w:pPr>
            <w:r w:rsidRPr="00552334">
              <w:rPr>
                <w:rFonts w:cs="Arial"/>
                <w:sz w:val="20"/>
                <w:szCs w:val="20"/>
                <w:lang w:val="en-GB"/>
              </w:rPr>
              <w:t>0.57</w:t>
            </w:r>
          </w:p>
        </w:tc>
        <w:tc>
          <w:tcPr>
            <w:tcW w:w="709" w:type="dxa"/>
            <w:gridSpan w:val="2"/>
            <w:tcBorders>
              <w:bottom w:val="single" w:sz="4" w:space="0" w:color="auto"/>
            </w:tcBorders>
            <w:shd w:val="clear" w:color="auto" w:fill="auto"/>
            <w:noWrap/>
            <w:vAlign w:val="center"/>
            <w:hideMark/>
          </w:tcPr>
          <w:p w14:paraId="355D08F0" w14:textId="77777777" w:rsidR="0051780C" w:rsidRPr="00552334" w:rsidRDefault="0051780C" w:rsidP="00A573C4">
            <w:pPr>
              <w:jc w:val="center"/>
              <w:rPr>
                <w:rFonts w:cs="Arial"/>
                <w:sz w:val="20"/>
                <w:szCs w:val="20"/>
                <w:lang w:val="en-GB"/>
              </w:rPr>
            </w:pPr>
            <w:r w:rsidRPr="00552334">
              <w:rPr>
                <w:rFonts w:cs="Arial"/>
                <w:sz w:val="20"/>
                <w:szCs w:val="20"/>
                <w:lang w:val="en-GB"/>
              </w:rPr>
              <w:t>1.17</w:t>
            </w:r>
          </w:p>
        </w:tc>
        <w:tc>
          <w:tcPr>
            <w:tcW w:w="1701" w:type="dxa"/>
            <w:tcBorders>
              <w:bottom w:val="single" w:sz="4" w:space="0" w:color="auto"/>
            </w:tcBorders>
            <w:shd w:val="clear" w:color="auto" w:fill="auto"/>
            <w:noWrap/>
            <w:vAlign w:val="center"/>
            <w:hideMark/>
          </w:tcPr>
          <w:p w14:paraId="4D2CB86D" w14:textId="77777777" w:rsidR="0051780C" w:rsidRPr="00552334" w:rsidRDefault="0051780C" w:rsidP="00A573C4">
            <w:pPr>
              <w:jc w:val="center"/>
              <w:rPr>
                <w:rFonts w:cs="Arial"/>
                <w:sz w:val="20"/>
                <w:szCs w:val="20"/>
                <w:lang w:val="en-GB"/>
              </w:rPr>
            </w:pPr>
            <w:r w:rsidRPr="00552334">
              <w:rPr>
                <w:rFonts w:cs="Arial"/>
                <w:sz w:val="20"/>
                <w:szCs w:val="20"/>
                <w:lang w:val="en-GB"/>
              </w:rPr>
              <w:t>0.0</w:t>
            </w:r>
          </w:p>
        </w:tc>
      </w:tr>
      <w:tr w:rsidR="0051780C" w:rsidRPr="00552334" w14:paraId="08039F8B" w14:textId="77777777" w:rsidTr="00A573C4">
        <w:trPr>
          <w:trHeight w:val="397"/>
        </w:trPr>
        <w:tc>
          <w:tcPr>
            <w:tcW w:w="1149" w:type="dxa"/>
            <w:vMerge w:val="restart"/>
            <w:tcBorders>
              <w:top w:val="single" w:sz="4" w:space="0" w:color="auto"/>
              <w:bottom w:val="single" w:sz="4" w:space="0" w:color="auto"/>
            </w:tcBorders>
            <w:shd w:val="clear" w:color="000000" w:fill="FFFFFF"/>
            <w:vAlign w:val="center"/>
            <w:hideMark/>
          </w:tcPr>
          <w:p w14:paraId="2F91AF3F" w14:textId="77777777" w:rsidR="0051780C" w:rsidRPr="00552334" w:rsidRDefault="0051780C" w:rsidP="00A573C4">
            <w:pPr>
              <w:rPr>
                <w:rFonts w:cs="Arial"/>
                <w:sz w:val="20"/>
                <w:szCs w:val="20"/>
                <w:lang w:val="en-GB"/>
              </w:rPr>
            </w:pPr>
            <w:r w:rsidRPr="00552334">
              <w:rPr>
                <w:rFonts w:cs="Arial"/>
                <w:sz w:val="20"/>
                <w:szCs w:val="20"/>
                <w:lang w:val="en-GB"/>
              </w:rPr>
              <w:t>Breakfast cereal + Baseline</w:t>
            </w:r>
          </w:p>
        </w:tc>
        <w:tc>
          <w:tcPr>
            <w:tcW w:w="993" w:type="dxa"/>
            <w:tcBorders>
              <w:top w:val="single" w:sz="4" w:space="0" w:color="auto"/>
            </w:tcBorders>
            <w:shd w:val="clear" w:color="000000" w:fill="FFFFFF"/>
            <w:vAlign w:val="center"/>
            <w:hideMark/>
          </w:tcPr>
          <w:p w14:paraId="02FCCF1E" w14:textId="77777777" w:rsidR="0051780C" w:rsidRPr="00552334" w:rsidRDefault="0051780C" w:rsidP="00A573C4">
            <w:pPr>
              <w:rPr>
                <w:rFonts w:cs="Arial"/>
                <w:sz w:val="20"/>
                <w:szCs w:val="20"/>
                <w:lang w:val="en-GB"/>
              </w:rPr>
            </w:pPr>
            <w:r w:rsidRPr="00552334">
              <w:rPr>
                <w:rFonts w:cs="Arial"/>
                <w:sz w:val="20"/>
                <w:szCs w:val="20"/>
                <w:lang w:val="en-GB"/>
              </w:rPr>
              <w:t>2</w:t>
            </w:r>
            <w:r w:rsidRPr="00F0687E">
              <w:rPr>
                <w:rFonts w:cs="Arial"/>
                <w:sz w:val="20"/>
                <w:szCs w:val="20"/>
                <w:lang w:val="en-GB"/>
              </w:rPr>
              <w:t>–</w:t>
            </w:r>
            <w:r w:rsidRPr="00552334">
              <w:rPr>
                <w:rFonts w:cs="Arial"/>
                <w:sz w:val="20"/>
                <w:szCs w:val="20"/>
                <w:lang w:val="en-GB"/>
              </w:rPr>
              <w:t>4</w:t>
            </w:r>
          </w:p>
        </w:tc>
        <w:tc>
          <w:tcPr>
            <w:tcW w:w="1842" w:type="dxa"/>
            <w:tcBorders>
              <w:top w:val="single" w:sz="4" w:space="0" w:color="auto"/>
            </w:tcBorders>
            <w:shd w:val="clear" w:color="000000" w:fill="FFFFFF"/>
            <w:vAlign w:val="center"/>
            <w:hideMark/>
          </w:tcPr>
          <w:p w14:paraId="37A27376" w14:textId="77777777" w:rsidR="0051780C" w:rsidRPr="00552334" w:rsidRDefault="0051780C" w:rsidP="00A573C4">
            <w:pPr>
              <w:jc w:val="center"/>
              <w:rPr>
                <w:rFonts w:cs="Arial"/>
                <w:sz w:val="20"/>
                <w:szCs w:val="20"/>
                <w:lang w:val="en-GB"/>
              </w:rPr>
            </w:pPr>
            <w:r w:rsidRPr="00552334">
              <w:rPr>
                <w:rFonts w:cs="Arial"/>
                <w:sz w:val="20"/>
                <w:szCs w:val="20"/>
                <w:lang w:val="en-GB"/>
              </w:rPr>
              <w:t>166 (301)</w:t>
            </w:r>
          </w:p>
        </w:tc>
        <w:tc>
          <w:tcPr>
            <w:tcW w:w="1560" w:type="dxa"/>
            <w:tcBorders>
              <w:top w:val="single" w:sz="4" w:space="0" w:color="auto"/>
            </w:tcBorders>
            <w:shd w:val="clear" w:color="000000" w:fill="FFFFFF"/>
            <w:noWrap/>
            <w:vAlign w:val="center"/>
            <w:hideMark/>
          </w:tcPr>
          <w:p w14:paraId="6E344D3C" w14:textId="77777777" w:rsidR="0051780C" w:rsidRPr="00E10D8F" w:rsidRDefault="0051780C" w:rsidP="00A573C4">
            <w:pPr>
              <w:jc w:val="center"/>
              <w:rPr>
                <w:rFonts w:cs="Arial"/>
                <w:sz w:val="20"/>
                <w:szCs w:val="20"/>
                <w:lang w:val="en-GB"/>
              </w:rPr>
            </w:pPr>
            <w:r w:rsidRPr="00552334">
              <w:rPr>
                <w:rFonts w:cs="Arial"/>
                <w:sz w:val="20"/>
                <w:szCs w:val="20"/>
                <w:lang w:val="en-GB"/>
              </w:rPr>
              <w:t>55</w:t>
            </w:r>
          </w:p>
        </w:tc>
        <w:tc>
          <w:tcPr>
            <w:tcW w:w="850" w:type="dxa"/>
            <w:tcBorders>
              <w:top w:val="single" w:sz="4" w:space="0" w:color="auto"/>
            </w:tcBorders>
            <w:shd w:val="clear" w:color="000000" w:fill="FFFFFF"/>
            <w:noWrap/>
            <w:vAlign w:val="center"/>
            <w:hideMark/>
          </w:tcPr>
          <w:p w14:paraId="6783DFB2" w14:textId="77777777" w:rsidR="0051780C" w:rsidRPr="00552334" w:rsidRDefault="0051780C" w:rsidP="00A573C4">
            <w:pPr>
              <w:jc w:val="center"/>
              <w:rPr>
                <w:rFonts w:cs="Arial"/>
                <w:sz w:val="20"/>
                <w:szCs w:val="20"/>
                <w:lang w:val="en-GB"/>
              </w:rPr>
            </w:pPr>
            <w:r w:rsidRPr="00552334">
              <w:rPr>
                <w:rFonts w:cs="Arial"/>
                <w:sz w:val="20"/>
                <w:szCs w:val="20"/>
                <w:lang w:val="en-GB"/>
              </w:rPr>
              <w:t>2.05</w:t>
            </w:r>
          </w:p>
        </w:tc>
        <w:tc>
          <w:tcPr>
            <w:tcW w:w="709" w:type="dxa"/>
            <w:gridSpan w:val="2"/>
            <w:tcBorders>
              <w:top w:val="single" w:sz="4" w:space="0" w:color="auto"/>
            </w:tcBorders>
            <w:shd w:val="clear" w:color="000000" w:fill="FFFFFF"/>
            <w:noWrap/>
            <w:vAlign w:val="center"/>
            <w:hideMark/>
          </w:tcPr>
          <w:p w14:paraId="492994E4" w14:textId="77777777" w:rsidR="0051780C" w:rsidRPr="00552334" w:rsidRDefault="0051780C" w:rsidP="00A573C4">
            <w:pPr>
              <w:jc w:val="center"/>
              <w:rPr>
                <w:rFonts w:cs="Arial"/>
                <w:sz w:val="20"/>
                <w:szCs w:val="20"/>
                <w:lang w:val="en-GB"/>
              </w:rPr>
            </w:pPr>
            <w:r w:rsidRPr="00552334">
              <w:rPr>
                <w:rFonts w:cs="Arial"/>
                <w:sz w:val="20"/>
                <w:szCs w:val="20"/>
                <w:lang w:val="en-GB"/>
              </w:rPr>
              <w:t>4.95</w:t>
            </w:r>
          </w:p>
        </w:tc>
        <w:tc>
          <w:tcPr>
            <w:tcW w:w="1701" w:type="dxa"/>
            <w:tcBorders>
              <w:top w:val="single" w:sz="4" w:space="0" w:color="auto"/>
            </w:tcBorders>
            <w:shd w:val="clear" w:color="000000" w:fill="FFFFFF"/>
            <w:noWrap/>
            <w:vAlign w:val="center"/>
            <w:hideMark/>
          </w:tcPr>
          <w:p w14:paraId="5B41D7E0" w14:textId="6FD229C1" w:rsidR="0051780C" w:rsidRPr="00552334" w:rsidRDefault="00290E84" w:rsidP="00A573C4">
            <w:pPr>
              <w:jc w:val="center"/>
              <w:rPr>
                <w:rFonts w:cs="Arial"/>
                <w:sz w:val="20"/>
                <w:szCs w:val="20"/>
                <w:lang w:val="en-GB"/>
              </w:rPr>
            </w:pPr>
            <w:r>
              <w:rPr>
                <w:rFonts w:cs="Arial"/>
                <w:sz w:val="20"/>
                <w:szCs w:val="20"/>
                <w:lang w:val="en-GB"/>
              </w:rPr>
              <w:t>0.0</w:t>
            </w:r>
          </w:p>
        </w:tc>
      </w:tr>
      <w:tr w:rsidR="0051780C" w:rsidRPr="00552334" w14:paraId="6E46FCAD" w14:textId="77777777" w:rsidTr="00A573C4">
        <w:trPr>
          <w:trHeight w:val="397"/>
        </w:trPr>
        <w:tc>
          <w:tcPr>
            <w:tcW w:w="1149" w:type="dxa"/>
            <w:vMerge/>
            <w:tcBorders>
              <w:top w:val="single" w:sz="4" w:space="0" w:color="auto"/>
              <w:bottom w:val="single" w:sz="4" w:space="0" w:color="auto"/>
            </w:tcBorders>
            <w:vAlign w:val="center"/>
            <w:hideMark/>
          </w:tcPr>
          <w:p w14:paraId="0E0C51F2"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09B0581B" w14:textId="77777777" w:rsidR="0051780C" w:rsidRPr="00552334" w:rsidRDefault="0051780C" w:rsidP="00A573C4">
            <w:pPr>
              <w:rPr>
                <w:rFonts w:cs="Arial"/>
                <w:sz w:val="20"/>
                <w:szCs w:val="20"/>
                <w:lang w:val="en-GB"/>
              </w:rPr>
            </w:pPr>
            <w:r w:rsidRPr="00552334">
              <w:rPr>
                <w:rFonts w:cs="Arial"/>
                <w:sz w:val="20"/>
                <w:szCs w:val="20"/>
                <w:lang w:val="en-GB"/>
              </w:rPr>
              <w:t>5</w:t>
            </w:r>
            <w:r w:rsidRPr="00F0687E">
              <w:rPr>
                <w:rFonts w:cs="Arial"/>
                <w:sz w:val="20"/>
                <w:szCs w:val="20"/>
                <w:lang w:val="en-GB"/>
              </w:rPr>
              <w:t>–</w:t>
            </w:r>
            <w:r w:rsidRPr="00552334">
              <w:rPr>
                <w:rFonts w:cs="Arial"/>
                <w:sz w:val="20"/>
                <w:szCs w:val="20"/>
                <w:lang w:val="en-GB"/>
              </w:rPr>
              <w:t>12</w:t>
            </w:r>
          </w:p>
        </w:tc>
        <w:tc>
          <w:tcPr>
            <w:tcW w:w="1842" w:type="dxa"/>
            <w:shd w:val="clear" w:color="000000" w:fill="FFFFFF"/>
            <w:vAlign w:val="center"/>
            <w:hideMark/>
          </w:tcPr>
          <w:p w14:paraId="4D30B735" w14:textId="77777777" w:rsidR="0051780C" w:rsidRPr="00552334" w:rsidRDefault="0051780C" w:rsidP="00A573C4">
            <w:pPr>
              <w:jc w:val="center"/>
              <w:rPr>
                <w:rFonts w:cs="Arial"/>
                <w:sz w:val="20"/>
                <w:szCs w:val="20"/>
                <w:lang w:val="en-GB"/>
              </w:rPr>
            </w:pPr>
            <w:r w:rsidRPr="00552334">
              <w:rPr>
                <w:rFonts w:cs="Arial"/>
                <w:sz w:val="20"/>
                <w:szCs w:val="20"/>
                <w:lang w:val="en-GB"/>
              </w:rPr>
              <w:t>348 (812)</w:t>
            </w:r>
          </w:p>
        </w:tc>
        <w:tc>
          <w:tcPr>
            <w:tcW w:w="1560" w:type="dxa"/>
            <w:shd w:val="clear" w:color="000000" w:fill="FFFFFF"/>
            <w:noWrap/>
            <w:vAlign w:val="center"/>
            <w:hideMark/>
          </w:tcPr>
          <w:p w14:paraId="60F15D52" w14:textId="77777777" w:rsidR="0051780C" w:rsidRPr="00E10D8F" w:rsidRDefault="0051780C" w:rsidP="00A573C4">
            <w:pPr>
              <w:jc w:val="center"/>
              <w:rPr>
                <w:rFonts w:cs="Arial"/>
                <w:sz w:val="20"/>
                <w:szCs w:val="20"/>
                <w:lang w:val="en-GB"/>
              </w:rPr>
            </w:pPr>
            <w:r w:rsidRPr="00552334">
              <w:rPr>
                <w:rFonts w:cs="Arial"/>
                <w:sz w:val="20"/>
                <w:szCs w:val="20"/>
                <w:lang w:val="en-GB"/>
              </w:rPr>
              <w:t>43</w:t>
            </w:r>
          </w:p>
        </w:tc>
        <w:tc>
          <w:tcPr>
            <w:tcW w:w="850" w:type="dxa"/>
            <w:shd w:val="clear" w:color="000000" w:fill="FFFFFF"/>
            <w:noWrap/>
            <w:vAlign w:val="center"/>
            <w:hideMark/>
          </w:tcPr>
          <w:p w14:paraId="2695F04D" w14:textId="77777777" w:rsidR="0051780C" w:rsidRPr="00552334" w:rsidRDefault="0051780C" w:rsidP="00A573C4">
            <w:pPr>
              <w:jc w:val="center"/>
              <w:rPr>
                <w:rFonts w:cs="Arial"/>
                <w:sz w:val="20"/>
                <w:szCs w:val="20"/>
                <w:lang w:val="en-GB"/>
              </w:rPr>
            </w:pPr>
            <w:r w:rsidRPr="00552334">
              <w:rPr>
                <w:rFonts w:cs="Arial"/>
                <w:sz w:val="20"/>
                <w:szCs w:val="20"/>
                <w:lang w:val="en-GB"/>
              </w:rPr>
              <w:t>2.27</w:t>
            </w:r>
          </w:p>
        </w:tc>
        <w:tc>
          <w:tcPr>
            <w:tcW w:w="709" w:type="dxa"/>
            <w:gridSpan w:val="2"/>
            <w:shd w:val="clear" w:color="000000" w:fill="FFFFFF"/>
            <w:noWrap/>
            <w:vAlign w:val="center"/>
            <w:hideMark/>
          </w:tcPr>
          <w:p w14:paraId="613087D2" w14:textId="77777777" w:rsidR="0051780C" w:rsidRPr="00552334" w:rsidRDefault="0051780C" w:rsidP="00A573C4">
            <w:pPr>
              <w:jc w:val="center"/>
              <w:rPr>
                <w:rFonts w:cs="Arial"/>
                <w:sz w:val="20"/>
                <w:szCs w:val="20"/>
                <w:lang w:val="en-GB"/>
              </w:rPr>
            </w:pPr>
            <w:r w:rsidRPr="00552334">
              <w:rPr>
                <w:rFonts w:cs="Arial"/>
                <w:sz w:val="20"/>
                <w:szCs w:val="20"/>
                <w:lang w:val="en-GB"/>
              </w:rPr>
              <w:t>4.34</w:t>
            </w:r>
          </w:p>
        </w:tc>
        <w:tc>
          <w:tcPr>
            <w:tcW w:w="1701" w:type="dxa"/>
            <w:shd w:val="clear" w:color="000000" w:fill="FFFFFF"/>
            <w:noWrap/>
            <w:vAlign w:val="center"/>
            <w:hideMark/>
          </w:tcPr>
          <w:p w14:paraId="1DD778EE" w14:textId="6C98BCB5" w:rsidR="0051780C" w:rsidRPr="00552334" w:rsidRDefault="00290E84" w:rsidP="00A573C4">
            <w:pPr>
              <w:jc w:val="center"/>
              <w:rPr>
                <w:rFonts w:cs="Arial"/>
                <w:sz w:val="20"/>
                <w:szCs w:val="20"/>
                <w:lang w:val="en-GB"/>
              </w:rPr>
            </w:pPr>
            <w:r>
              <w:rPr>
                <w:rFonts w:cs="Arial"/>
                <w:sz w:val="20"/>
                <w:szCs w:val="20"/>
                <w:lang w:val="en-GB"/>
              </w:rPr>
              <w:t>0.7</w:t>
            </w:r>
          </w:p>
        </w:tc>
      </w:tr>
      <w:tr w:rsidR="0051780C" w:rsidRPr="00552334" w14:paraId="4946BA2B" w14:textId="77777777" w:rsidTr="00A573C4">
        <w:trPr>
          <w:trHeight w:val="397"/>
        </w:trPr>
        <w:tc>
          <w:tcPr>
            <w:tcW w:w="1149" w:type="dxa"/>
            <w:vMerge/>
            <w:tcBorders>
              <w:top w:val="single" w:sz="4" w:space="0" w:color="auto"/>
              <w:bottom w:val="single" w:sz="4" w:space="0" w:color="auto"/>
            </w:tcBorders>
            <w:vAlign w:val="center"/>
            <w:hideMark/>
          </w:tcPr>
          <w:p w14:paraId="34587E39"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41EF1079" w14:textId="77777777" w:rsidR="0051780C" w:rsidRPr="00552334" w:rsidRDefault="0051780C" w:rsidP="00A573C4">
            <w:pPr>
              <w:rPr>
                <w:rFonts w:cs="Arial"/>
                <w:sz w:val="20"/>
                <w:szCs w:val="20"/>
                <w:lang w:val="en-GB"/>
              </w:rPr>
            </w:pPr>
            <w:r w:rsidRPr="00552334">
              <w:rPr>
                <w:rFonts w:cs="Arial"/>
                <w:sz w:val="20"/>
                <w:szCs w:val="20"/>
                <w:lang w:val="en-GB"/>
              </w:rPr>
              <w:t>13</w:t>
            </w:r>
            <w:r w:rsidRPr="00F0687E">
              <w:rPr>
                <w:rFonts w:cs="Arial"/>
                <w:sz w:val="20"/>
                <w:szCs w:val="20"/>
                <w:lang w:val="en-GB"/>
              </w:rPr>
              <w:t>–</w:t>
            </w:r>
            <w:r w:rsidRPr="00552334">
              <w:rPr>
                <w:rFonts w:cs="Arial"/>
                <w:sz w:val="20"/>
                <w:szCs w:val="20"/>
                <w:lang w:val="en-GB"/>
              </w:rPr>
              <w:t>17</w:t>
            </w:r>
          </w:p>
        </w:tc>
        <w:tc>
          <w:tcPr>
            <w:tcW w:w="1842" w:type="dxa"/>
            <w:shd w:val="clear" w:color="000000" w:fill="FFFFFF"/>
            <w:vAlign w:val="center"/>
            <w:hideMark/>
          </w:tcPr>
          <w:p w14:paraId="0B57BB8A" w14:textId="77777777" w:rsidR="0051780C" w:rsidRPr="00552334" w:rsidRDefault="0051780C" w:rsidP="00A573C4">
            <w:pPr>
              <w:jc w:val="center"/>
              <w:rPr>
                <w:rFonts w:cs="Arial"/>
                <w:sz w:val="20"/>
                <w:szCs w:val="20"/>
                <w:lang w:val="en-GB"/>
              </w:rPr>
            </w:pPr>
            <w:r w:rsidRPr="00552334">
              <w:rPr>
                <w:rFonts w:cs="Arial"/>
                <w:sz w:val="20"/>
                <w:szCs w:val="20"/>
                <w:lang w:val="en-GB"/>
              </w:rPr>
              <w:t>165 (494)</w:t>
            </w:r>
          </w:p>
        </w:tc>
        <w:tc>
          <w:tcPr>
            <w:tcW w:w="1560" w:type="dxa"/>
            <w:shd w:val="clear" w:color="000000" w:fill="FFFFFF"/>
            <w:noWrap/>
            <w:vAlign w:val="center"/>
            <w:hideMark/>
          </w:tcPr>
          <w:p w14:paraId="3FC25ED8" w14:textId="77777777" w:rsidR="0051780C" w:rsidRPr="00E10D8F" w:rsidRDefault="0051780C" w:rsidP="00A573C4">
            <w:pPr>
              <w:jc w:val="center"/>
              <w:rPr>
                <w:rFonts w:cs="Arial"/>
                <w:sz w:val="20"/>
                <w:szCs w:val="20"/>
                <w:lang w:val="en-GB"/>
              </w:rPr>
            </w:pPr>
            <w:r w:rsidRPr="00552334">
              <w:rPr>
                <w:rFonts w:cs="Arial"/>
                <w:sz w:val="20"/>
                <w:szCs w:val="20"/>
                <w:lang w:val="en-GB"/>
              </w:rPr>
              <w:t>33</w:t>
            </w:r>
          </w:p>
        </w:tc>
        <w:tc>
          <w:tcPr>
            <w:tcW w:w="850" w:type="dxa"/>
            <w:shd w:val="clear" w:color="000000" w:fill="FFFFFF"/>
            <w:noWrap/>
            <w:vAlign w:val="center"/>
            <w:hideMark/>
          </w:tcPr>
          <w:p w14:paraId="1EBD69C6" w14:textId="77777777" w:rsidR="0051780C" w:rsidRPr="00552334" w:rsidRDefault="0051780C" w:rsidP="00A573C4">
            <w:pPr>
              <w:jc w:val="center"/>
              <w:rPr>
                <w:rFonts w:cs="Arial"/>
                <w:sz w:val="20"/>
                <w:szCs w:val="20"/>
                <w:lang w:val="en-GB"/>
              </w:rPr>
            </w:pPr>
            <w:r w:rsidRPr="00552334">
              <w:rPr>
                <w:rFonts w:cs="Arial"/>
                <w:sz w:val="20"/>
                <w:szCs w:val="20"/>
                <w:lang w:val="en-GB"/>
              </w:rPr>
              <w:t>3.18</w:t>
            </w:r>
          </w:p>
        </w:tc>
        <w:tc>
          <w:tcPr>
            <w:tcW w:w="709" w:type="dxa"/>
            <w:gridSpan w:val="2"/>
            <w:shd w:val="clear" w:color="000000" w:fill="FFFFFF"/>
            <w:noWrap/>
            <w:vAlign w:val="center"/>
            <w:hideMark/>
          </w:tcPr>
          <w:p w14:paraId="638F9A95" w14:textId="77777777" w:rsidR="0051780C" w:rsidRPr="00552334" w:rsidRDefault="0051780C" w:rsidP="00A573C4">
            <w:pPr>
              <w:jc w:val="center"/>
              <w:rPr>
                <w:rFonts w:cs="Arial"/>
                <w:sz w:val="20"/>
                <w:szCs w:val="20"/>
                <w:lang w:val="en-GB"/>
              </w:rPr>
            </w:pPr>
            <w:r w:rsidRPr="00552334">
              <w:rPr>
                <w:rFonts w:cs="Arial"/>
                <w:sz w:val="20"/>
                <w:szCs w:val="20"/>
                <w:lang w:val="en-GB"/>
              </w:rPr>
              <w:t>6.57</w:t>
            </w:r>
          </w:p>
        </w:tc>
        <w:tc>
          <w:tcPr>
            <w:tcW w:w="1701" w:type="dxa"/>
            <w:shd w:val="clear" w:color="000000" w:fill="FFFFFF"/>
            <w:noWrap/>
            <w:vAlign w:val="center"/>
            <w:hideMark/>
          </w:tcPr>
          <w:p w14:paraId="172A352D" w14:textId="3A8C65AA" w:rsidR="0051780C" w:rsidRPr="00552334" w:rsidRDefault="00290E84" w:rsidP="00A573C4">
            <w:pPr>
              <w:jc w:val="center"/>
              <w:rPr>
                <w:rFonts w:cs="Arial"/>
                <w:sz w:val="20"/>
                <w:szCs w:val="20"/>
                <w:lang w:val="en-GB"/>
              </w:rPr>
            </w:pPr>
            <w:r>
              <w:rPr>
                <w:rFonts w:cs="Arial"/>
                <w:sz w:val="20"/>
                <w:szCs w:val="20"/>
                <w:lang w:val="en-GB"/>
              </w:rPr>
              <w:t>1.1</w:t>
            </w:r>
          </w:p>
        </w:tc>
      </w:tr>
      <w:tr w:rsidR="0051780C" w:rsidRPr="00552334" w14:paraId="36511B42" w14:textId="77777777" w:rsidTr="00A573C4">
        <w:trPr>
          <w:trHeight w:val="397"/>
        </w:trPr>
        <w:tc>
          <w:tcPr>
            <w:tcW w:w="1149" w:type="dxa"/>
            <w:vMerge/>
            <w:tcBorders>
              <w:top w:val="single" w:sz="4" w:space="0" w:color="auto"/>
              <w:bottom w:val="single" w:sz="4" w:space="0" w:color="auto"/>
            </w:tcBorders>
            <w:vAlign w:val="center"/>
            <w:hideMark/>
          </w:tcPr>
          <w:p w14:paraId="3960CDA7"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51BE44D3" w14:textId="77777777" w:rsidR="0051780C" w:rsidRPr="00552334" w:rsidRDefault="0051780C" w:rsidP="00A573C4">
            <w:pPr>
              <w:rPr>
                <w:rFonts w:cs="Arial"/>
                <w:sz w:val="20"/>
                <w:szCs w:val="20"/>
                <w:lang w:val="en-GB"/>
              </w:rPr>
            </w:pPr>
            <w:r w:rsidRPr="00552334">
              <w:rPr>
                <w:rFonts w:cs="Arial"/>
                <w:sz w:val="20"/>
                <w:szCs w:val="20"/>
                <w:lang w:val="en-GB"/>
              </w:rPr>
              <w:t>18</w:t>
            </w:r>
            <w:r w:rsidRPr="00F0687E">
              <w:rPr>
                <w:rFonts w:cs="Arial"/>
                <w:sz w:val="20"/>
                <w:szCs w:val="20"/>
                <w:lang w:val="en-GB"/>
              </w:rPr>
              <w:t>–</w:t>
            </w:r>
            <w:r w:rsidRPr="00552334">
              <w:rPr>
                <w:rFonts w:cs="Arial"/>
                <w:sz w:val="20"/>
                <w:szCs w:val="20"/>
                <w:lang w:val="en-GB"/>
              </w:rPr>
              <w:t>44</w:t>
            </w:r>
          </w:p>
        </w:tc>
        <w:tc>
          <w:tcPr>
            <w:tcW w:w="1842" w:type="dxa"/>
            <w:shd w:val="clear" w:color="000000" w:fill="FFFFFF"/>
            <w:vAlign w:val="center"/>
            <w:hideMark/>
          </w:tcPr>
          <w:p w14:paraId="0B634599" w14:textId="77777777" w:rsidR="0051780C" w:rsidRPr="00552334" w:rsidRDefault="0051780C" w:rsidP="00A573C4">
            <w:pPr>
              <w:jc w:val="center"/>
              <w:rPr>
                <w:rFonts w:cs="Arial"/>
                <w:sz w:val="20"/>
                <w:szCs w:val="20"/>
                <w:lang w:val="en-GB"/>
              </w:rPr>
            </w:pPr>
            <w:r w:rsidRPr="00552334">
              <w:rPr>
                <w:rFonts w:cs="Arial"/>
                <w:sz w:val="20"/>
                <w:szCs w:val="20"/>
                <w:lang w:val="en-GB"/>
              </w:rPr>
              <w:t>1166 (3066)</w:t>
            </w:r>
          </w:p>
        </w:tc>
        <w:tc>
          <w:tcPr>
            <w:tcW w:w="1560" w:type="dxa"/>
            <w:shd w:val="clear" w:color="000000" w:fill="FFFFFF"/>
            <w:noWrap/>
            <w:vAlign w:val="center"/>
            <w:hideMark/>
          </w:tcPr>
          <w:p w14:paraId="7A71A41E" w14:textId="77777777" w:rsidR="0051780C" w:rsidRPr="00E10D8F" w:rsidRDefault="0051780C" w:rsidP="00A573C4">
            <w:pPr>
              <w:jc w:val="center"/>
              <w:rPr>
                <w:rFonts w:cs="Arial"/>
                <w:sz w:val="20"/>
                <w:szCs w:val="20"/>
                <w:lang w:val="en-GB"/>
              </w:rPr>
            </w:pPr>
            <w:r w:rsidRPr="00552334">
              <w:rPr>
                <w:rFonts w:cs="Arial"/>
                <w:sz w:val="20"/>
                <w:szCs w:val="20"/>
                <w:lang w:val="en-GB"/>
              </w:rPr>
              <w:t>38</w:t>
            </w:r>
          </w:p>
        </w:tc>
        <w:tc>
          <w:tcPr>
            <w:tcW w:w="850" w:type="dxa"/>
            <w:shd w:val="clear" w:color="000000" w:fill="FFFFFF"/>
            <w:noWrap/>
            <w:vAlign w:val="center"/>
            <w:hideMark/>
          </w:tcPr>
          <w:p w14:paraId="74B2132C" w14:textId="77777777" w:rsidR="0051780C" w:rsidRPr="00552334" w:rsidRDefault="0051780C" w:rsidP="00A573C4">
            <w:pPr>
              <w:jc w:val="center"/>
              <w:rPr>
                <w:rFonts w:cs="Arial"/>
                <w:sz w:val="20"/>
                <w:szCs w:val="20"/>
                <w:lang w:val="en-GB"/>
              </w:rPr>
            </w:pPr>
            <w:r w:rsidRPr="00552334">
              <w:rPr>
                <w:rFonts w:cs="Arial"/>
                <w:sz w:val="20"/>
                <w:szCs w:val="20"/>
                <w:lang w:val="en-GB"/>
              </w:rPr>
              <w:t>3.67</w:t>
            </w:r>
          </w:p>
        </w:tc>
        <w:tc>
          <w:tcPr>
            <w:tcW w:w="709" w:type="dxa"/>
            <w:gridSpan w:val="2"/>
            <w:shd w:val="clear" w:color="000000" w:fill="FFFFFF"/>
            <w:noWrap/>
            <w:vAlign w:val="center"/>
            <w:hideMark/>
          </w:tcPr>
          <w:p w14:paraId="6E967DFC" w14:textId="77777777" w:rsidR="0051780C" w:rsidRPr="00552334" w:rsidRDefault="0051780C" w:rsidP="00A573C4">
            <w:pPr>
              <w:jc w:val="center"/>
              <w:rPr>
                <w:rFonts w:cs="Arial"/>
                <w:sz w:val="20"/>
                <w:szCs w:val="20"/>
                <w:lang w:val="en-GB"/>
              </w:rPr>
            </w:pPr>
            <w:r w:rsidRPr="00552334">
              <w:rPr>
                <w:rFonts w:cs="Arial"/>
                <w:sz w:val="20"/>
                <w:szCs w:val="20"/>
                <w:lang w:val="en-GB"/>
              </w:rPr>
              <w:t>7.41</w:t>
            </w:r>
          </w:p>
        </w:tc>
        <w:tc>
          <w:tcPr>
            <w:tcW w:w="1701" w:type="dxa"/>
            <w:shd w:val="clear" w:color="000000" w:fill="FFFFFF"/>
            <w:noWrap/>
            <w:vAlign w:val="center"/>
            <w:hideMark/>
          </w:tcPr>
          <w:p w14:paraId="1E6C2842" w14:textId="3724F29D" w:rsidR="0051780C" w:rsidRPr="00552334" w:rsidRDefault="00290E84" w:rsidP="00A573C4">
            <w:pPr>
              <w:jc w:val="center"/>
              <w:rPr>
                <w:rFonts w:cs="Arial"/>
                <w:sz w:val="20"/>
                <w:szCs w:val="20"/>
                <w:lang w:val="en-GB"/>
              </w:rPr>
            </w:pPr>
            <w:r>
              <w:rPr>
                <w:rFonts w:cs="Arial"/>
                <w:sz w:val="20"/>
                <w:szCs w:val="20"/>
                <w:lang w:val="en-GB"/>
              </w:rPr>
              <w:t>2.4</w:t>
            </w:r>
          </w:p>
        </w:tc>
      </w:tr>
      <w:tr w:rsidR="0051780C" w:rsidRPr="00552334" w14:paraId="309B27B3" w14:textId="77777777" w:rsidTr="00A573C4">
        <w:trPr>
          <w:trHeight w:val="397"/>
        </w:trPr>
        <w:tc>
          <w:tcPr>
            <w:tcW w:w="1149" w:type="dxa"/>
            <w:vMerge/>
            <w:tcBorders>
              <w:top w:val="single" w:sz="4" w:space="0" w:color="auto"/>
              <w:bottom w:val="single" w:sz="4" w:space="0" w:color="auto"/>
            </w:tcBorders>
            <w:vAlign w:val="center"/>
            <w:hideMark/>
          </w:tcPr>
          <w:p w14:paraId="608F7E0E" w14:textId="77777777" w:rsidR="0051780C" w:rsidRPr="00552334" w:rsidRDefault="0051780C" w:rsidP="00A573C4">
            <w:pPr>
              <w:rPr>
                <w:rFonts w:cs="Arial"/>
                <w:sz w:val="20"/>
                <w:szCs w:val="20"/>
                <w:lang w:val="en-GB"/>
              </w:rPr>
            </w:pPr>
          </w:p>
        </w:tc>
        <w:tc>
          <w:tcPr>
            <w:tcW w:w="993" w:type="dxa"/>
            <w:shd w:val="clear" w:color="000000" w:fill="FFFFFF"/>
            <w:vAlign w:val="center"/>
            <w:hideMark/>
          </w:tcPr>
          <w:p w14:paraId="7BE3B912" w14:textId="77777777" w:rsidR="0051780C" w:rsidRPr="00552334" w:rsidRDefault="0051780C" w:rsidP="00A573C4">
            <w:pPr>
              <w:rPr>
                <w:rFonts w:cs="Arial"/>
                <w:sz w:val="20"/>
                <w:szCs w:val="20"/>
                <w:lang w:val="en-GB"/>
              </w:rPr>
            </w:pPr>
            <w:r w:rsidRPr="00552334">
              <w:rPr>
                <w:rFonts w:cs="Arial"/>
                <w:sz w:val="20"/>
                <w:szCs w:val="20"/>
                <w:lang w:val="en-GB"/>
              </w:rPr>
              <w:t>45</w:t>
            </w:r>
            <w:r w:rsidRPr="00F0687E">
              <w:rPr>
                <w:rFonts w:cs="Arial"/>
                <w:sz w:val="20"/>
                <w:szCs w:val="20"/>
                <w:lang w:val="en-GB"/>
              </w:rPr>
              <w:t>–</w:t>
            </w:r>
            <w:r w:rsidRPr="00552334">
              <w:rPr>
                <w:rFonts w:cs="Arial"/>
                <w:sz w:val="20"/>
                <w:szCs w:val="20"/>
                <w:lang w:val="en-GB"/>
              </w:rPr>
              <w:t>85</w:t>
            </w:r>
          </w:p>
        </w:tc>
        <w:tc>
          <w:tcPr>
            <w:tcW w:w="1842" w:type="dxa"/>
            <w:shd w:val="clear" w:color="000000" w:fill="FFFFFF"/>
            <w:vAlign w:val="center"/>
            <w:hideMark/>
          </w:tcPr>
          <w:p w14:paraId="6A3FED82" w14:textId="77777777" w:rsidR="0051780C" w:rsidRPr="00552334" w:rsidRDefault="0051780C" w:rsidP="00A573C4">
            <w:pPr>
              <w:jc w:val="center"/>
              <w:rPr>
                <w:rFonts w:cs="Arial"/>
                <w:sz w:val="20"/>
                <w:szCs w:val="20"/>
                <w:lang w:val="en-GB"/>
              </w:rPr>
            </w:pPr>
            <w:r w:rsidRPr="00552334">
              <w:rPr>
                <w:rFonts w:cs="Arial"/>
                <w:sz w:val="20"/>
                <w:szCs w:val="20"/>
                <w:lang w:val="en-GB"/>
              </w:rPr>
              <w:t>1626 (3062)</w:t>
            </w:r>
          </w:p>
        </w:tc>
        <w:tc>
          <w:tcPr>
            <w:tcW w:w="1560" w:type="dxa"/>
            <w:shd w:val="clear" w:color="000000" w:fill="FFFFFF"/>
            <w:noWrap/>
            <w:vAlign w:val="center"/>
            <w:hideMark/>
          </w:tcPr>
          <w:p w14:paraId="31878BBD" w14:textId="77777777" w:rsidR="0051780C" w:rsidRPr="00E10D8F" w:rsidRDefault="0051780C" w:rsidP="00A573C4">
            <w:pPr>
              <w:jc w:val="center"/>
              <w:rPr>
                <w:rFonts w:cs="Arial"/>
                <w:sz w:val="20"/>
                <w:szCs w:val="20"/>
                <w:lang w:val="en-GB"/>
              </w:rPr>
            </w:pPr>
            <w:r w:rsidRPr="00552334">
              <w:rPr>
                <w:rFonts w:cs="Arial"/>
                <w:sz w:val="20"/>
                <w:szCs w:val="20"/>
                <w:lang w:val="en-GB"/>
              </w:rPr>
              <w:t>53</w:t>
            </w:r>
          </w:p>
        </w:tc>
        <w:tc>
          <w:tcPr>
            <w:tcW w:w="850" w:type="dxa"/>
            <w:shd w:val="clear" w:color="000000" w:fill="FFFFFF"/>
            <w:noWrap/>
            <w:vAlign w:val="center"/>
            <w:hideMark/>
          </w:tcPr>
          <w:p w14:paraId="3808A0A3" w14:textId="77777777" w:rsidR="0051780C" w:rsidRPr="00552334" w:rsidRDefault="0051780C" w:rsidP="00A573C4">
            <w:pPr>
              <w:jc w:val="center"/>
              <w:rPr>
                <w:rFonts w:cs="Arial"/>
                <w:sz w:val="20"/>
                <w:szCs w:val="20"/>
                <w:lang w:val="en-GB"/>
              </w:rPr>
            </w:pPr>
            <w:r w:rsidRPr="00552334">
              <w:rPr>
                <w:rFonts w:cs="Arial"/>
                <w:sz w:val="20"/>
                <w:szCs w:val="20"/>
                <w:lang w:val="en-GB"/>
              </w:rPr>
              <w:t>3.25</w:t>
            </w:r>
          </w:p>
        </w:tc>
        <w:tc>
          <w:tcPr>
            <w:tcW w:w="709" w:type="dxa"/>
            <w:gridSpan w:val="2"/>
            <w:shd w:val="clear" w:color="000000" w:fill="FFFFFF"/>
            <w:noWrap/>
            <w:vAlign w:val="center"/>
            <w:hideMark/>
          </w:tcPr>
          <w:p w14:paraId="3E0751ED" w14:textId="77777777" w:rsidR="0051780C" w:rsidRPr="00552334" w:rsidRDefault="0051780C" w:rsidP="00A573C4">
            <w:pPr>
              <w:jc w:val="center"/>
              <w:rPr>
                <w:rFonts w:cs="Arial"/>
                <w:sz w:val="20"/>
                <w:szCs w:val="20"/>
                <w:lang w:val="en-GB"/>
              </w:rPr>
            </w:pPr>
            <w:r w:rsidRPr="00552334">
              <w:rPr>
                <w:rFonts w:cs="Arial"/>
                <w:sz w:val="20"/>
                <w:szCs w:val="20"/>
                <w:lang w:val="en-GB"/>
              </w:rPr>
              <w:t>6.57</w:t>
            </w:r>
          </w:p>
        </w:tc>
        <w:tc>
          <w:tcPr>
            <w:tcW w:w="1701" w:type="dxa"/>
            <w:shd w:val="clear" w:color="000000" w:fill="FFFFFF"/>
            <w:noWrap/>
            <w:vAlign w:val="center"/>
            <w:hideMark/>
          </w:tcPr>
          <w:p w14:paraId="39DEBA3A" w14:textId="1F7C524B" w:rsidR="0051780C" w:rsidRPr="00552334" w:rsidRDefault="00BA3323" w:rsidP="00A573C4">
            <w:pPr>
              <w:jc w:val="center"/>
              <w:rPr>
                <w:rFonts w:cs="Arial"/>
                <w:sz w:val="20"/>
                <w:szCs w:val="20"/>
                <w:lang w:val="en-GB"/>
              </w:rPr>
            </w:pPr>
            <w:r>
              <w:rPr>
                <w:rFonts w:cs="Arial"/>
                <w:sz w:val="20"/>
                <w:szCs w:val="20"/>
                <w:lang w:val="en-GB"/>
              </w:rPr>
              <w:t>2.6</w:t>
            </w:r>
          </w:p>
        </w:tc>
      </w:tr>
      <w:tr w:rsidR="0051780C" w:rsidRPr="00552334" w14:paraId="583ECDD8" w14:textId="77777777" w:rsidTr="00A573C4">
        <w:trPr>
          <w:trHeight w:val="397"/>
        </w:trPr>
        <w:tc>
          <w:tcPr>
            <w:tcW w:w="1149" w:type="dxa"/>
            <w:vMerge/>
            <w:tcBorders>
              <w:top w:val="single" w:sz="4" w:space="0" w:color="auto"/>
              <w:bottom w:val="single" w:sz="4" w:space="0" w:color="auto"/>
            </w:tcBorders>
            <w:vAlign w:val="center"/>
            <w:hideMark/>
          </w:tcPr>
          <w:p w14:paraId="4B4ED5B1" w14:textId="77777777" w:rsidR="0051780C" w:rsidRPr="00552334" w:rsidRDefault="0051780C" w:rsidP="00A573C4">
            <w:pPr>
              <w:rPr>
                <w:rFonts w:cs="Arial"/>
                <w:sz w:val="20"/>
                <w:szCs w:val="20"/>
                <w:lang w:val="en-GB"/>
              </w:rPr>
            </w:pPr>
          </w:p>
        </w:tc>
        <w:tc>
          <w:tcPr>
            <w:tcW w:w="993" w:type="dxa"/>
            <w:tcBorders>
              <w:bottom w:val="single" w:sz="4" w:space="0" w:color="auto"/>
            </w:tcBorders>
            <w:shd w:val="clear" w:color="000000" w:fill="FFFFFF"/>
            <w:vAlign w:val="center"/>
            <w:hideMark/>
          </w:tcPr>
          <w:p w14:paraId="2A68D513" w14:textId="77777777" w:rsidR="0051780C" w:rsidRPr="00552334" w:rsidRDefault="0051780C" w:rsidP="00A573C4">
            <w:pPr>
              <w:rPr>
                <w:rFonts w:cs="Arial"/>
                <w:sz w:val="20"/>
                <w:szCs w:val="20"/>
                <w:lang w:val="en-GB"/>
              </w:rPr>
            </w:pPr>
            <w:r w:rsidRPr="00552334">
              <w:rPr>
                <w:rFonts w:cs="Arial"/>
                <w:sz w:val="20"/>
                <w:szCs w:val="20"/>
                <w:lang w:val="en-GB"/>
              </w:rPr>
              <w:t>2+</w:t>
            </w:r>
          </w:p>
        </w:tc>
        <w:tc>
          <w:tcPr>
            <w:tcW w:w="1842" w:type="dxa"/>
            <w:tcBorders>
              <w:bottom w:val="single" w:sz="4" w:space="0" w:color="auto"/>
            </w:tcBorders>
            <w:shd w:val="clear" w:color="000000" w:fill="FFFFFF"/>
            <w:vAlign w:val="center"/>
            <w:hideMark/>
          </w:tcPr>
          <w:p w14:paraId="12C2F15A" w14:textId="77777777" w:rsidR="0051780C" w:rsidRPr="00552334" w:rsidRDefault="0051780C" w:rsidP="00A573C4">
            <w:pPr>
              <w:jc w:val="center"/>
              <w:rPr>
                <w:rFonts w:cs="Arial"/>
                <w:sz w:val="20"/>
                <w:szCs w:val="20"/>
                <w:lang w:val="en-GB"/>
              </w:rPr>
            </w:pPr>
            <w:r w:rsidRPr="00552334">
              <w:rPr>
                <w:rFonts w:cs="Arial"/>
                <w:sz w:val="20"/>
                <w:szCs w:val="20"/>
                <w:lang w:val="en-GB"/>
              </w:rPr>
              <w:t>3472 (7735)</w:t>
            </w:r>
          </w:p>
        </w:tc>
        <w:tc>
          <w:tcPr>
            <w:tcW w:w="1560" w:type="dxa"/>
            <w:tcBorders>
              <w:bottom w:val="single" w:sz="4" w:space="0" w:color="auto"/>
            </w:tcBorders>
            <w:shd w:val="clear" w:color="000000" w:fill="FFFFFF"/>
            <w:noWrap/>
            <w:vAlign w:val="center"/>
            <w:hideMark/>
          </w:tcPr>
          <w:p w14:paraId="5BB1CD0E" w14:textId="77777777" w:rsidR="0051780C" w:rsidRPr="00552334" w:rsidRDefault="0051780C" w:rsidP="00A573C4">
            <w:pPr>
              <w:jc w:val="center"/>
              <w:rPr>
                <w:rFonts w:cs="Arial"/>
                <w:sz w:val="20"/>
                <w:szCs w:val="20"/>
                <w:lang w:val="en-GB"/>
              </w:rPr>
            </w:pPr>
            <w:r w:rsidRPr="00552334">
              <w:rPr>
                <w:rFonts w:cs="Arial"/>
                <w:sz w:val="20"/>
                <w:szCs w:val="20"/>
                <w:lang w:val="en-GB"/>
              </w:rPr>
              <w:t>45</w:t>
            </w:r>
          </w:p>
        </w:tc>
        <w:tc>
          <w:tcPr>
            <w:tcW w:w="850" w:type="dxa"/>
            <w:tcBorders>
              <w:bottom w:val="single" w:sz="4" w:space="0" w:color="auto"/>
            </w:tcBorders>
            <w:shd w:val="clear" w:color="000000" w:fill="FFFFFF"/>
            <w:noWrap/>
            <w:vAlign w:val="center"/>
            <w:hideMark/>
          </w:tcPr>
          <w:p w14:paraId="4F14773D" w14:textId="77777777" w:rsidR="0051780C" w:rsidRPr="00552334" w:rsidRDefault="0051780C" w:rsidP="00A573C4">
            <w:pPr>
              <w:jc w:val="center"/>
              <w:rPr>
                <w:rFonts w:cs="Arial"/>
                <w:sz w:val="20"/>
                <w:szCs w:val="20"/>
                <w:lang w:val="en-GB"/>
              </w:rPr>
            </w:pPr>
            <w:r w:rsidRPr="00552334">
              <w:rPr>
                <w:rFonts w:cs="Arial"/>
                <w:sz w:val="20"/>
                <w:szCs w:val="20"/>
                <w:lang w:val="en-GB"/>
              </w:rPr>
              <w:t>3.23</w:t>
            </w:r>
          </w:p>
        </w:tc>
        <w:tc>
          <w:tcPr>
            <w:tcW w:w="709" w:type="dxa"/>
            <w:gridSpan w:val="2"/>
            <w:tcBorders>
              <w:bottom w:val="single" w:sz="4" w:space="0" w:color="auto"/>
            </w:tcBorders>
            <w:shd w:val="clear" w:color="000000" w:fill="FFFFFF"/>
            <w:noWrap/>
            <w:vAlign w:val="center"/>
            <w:hideMark/>
          </w:tcPr>
          <w:p w14:paraId="5F2F413D" w14:textId="77777777" w:rsidR="0051780C" w:rsidRPr="00552334" w:rsidRDefault="0051780C" w:rsidP="00A573C4">
            <w:pPr>
              <w:jc w:val="center"/>
              <w:rPr>
                <w:rFonts w:cs="Arial"/>
                <w:sz w:val="20"/>
                <w:szCs w:val="20"/>
                <w:lang w:val="en-GB"/>
              </w:rPr>
            </w:pPr>
            <w:r w:rsidRPr="00552334">
              <w:rPr>
                <w:rFonts w:cs="Arial"/>
                <w:sz w:val="20"/>
                <w:szCs w:val="20"/>
                <w:lang w:val="en-GB"/>
              </w:rPr>
              <w:t>6.42</w:t>
            </w:r>
          </w:p>
        </w:tc>
        <w:tc>
          <w:tcPr>
            <w:tcW w:w="1701" w:type="dxa"/>
            <w:tcBorders>
              <w:bottom w:val="single" w:sz="4" w:space="0" w:color="auto"/>
            </w:tcBorders>
            <w:shd w:val="clear" w:color="000000" w:fill="FFFFFF"/>
            <w:noWrap/>
            <w:vAlign w:val="center"/>
            <w:hideMark/>
          </w:tcPr>
          <w:p w14:paraId="32E6B872" w14:textId="7F6DD83D" w:rsidR="0051780C" w:rsidRPr="00552334" w:rsidRDefault="00290E84" w:rsidP="00A573C4">
            <w:pPr>
              <w:jc w:val="center"/>
              <w:rPr>
                <w:rFonts w:cs="Arial"/>
                <w:sz w:val="20"/>
                <w:szCs w:val="20"/>
                <w:lang w:val="en-GB"/>
              </w:rPr>
            </w:pPr>
            <w:r>
              <w:rPr>
                <w:rFonts w:cs="Arial"/>
                <w:sz w:val="20"/>
                <w:szCs w:val="20"/>
                <w:lang w:val="en-GB"/>
              </w:rPr>
              <w:t>2.1</w:t>
            </w:r>
          </w:p>
        </w:tc>
      </w:tr>
    </w:tbl>
    <w:p w14:paraId="7C6BCEE7" w14:textId="00A2BAB2" w:rsidR="0051780C" w:rsidRPr="00F0687E" w:rsidRDefault="0051780C" w:rsidP="0051780C">
      <w:pPr>
        <w:rPr>
          <w:sz w:val="20"/>
          <w:szCs w:val="20"/>
          <w:lang w:val="en-GB"/>
        </w:rPr>
      </w:pPr>
      <w:r w:rsidRPr="00F0687E">
        <w:rPr>
          <w:lang w:val="en-GB"/>
        </w:rPr>
        <w:t xml:space="preserve">* </w:t>
      </w:r>
      <w:r w:rsidRPr="00F0687E">
        <w:rPr>
          <w:sz w:val="20"/>
          <w:szCs w:val="20"/>
          <w:lang w:val="en-GB"/>
        </w:rPr>
        <w:t>Estimated total dietary exposure for consumers only</w:t>
      </w:r>
      <w:r w:rsidR="005B67B3">
        <w:rPr>
          <w:sz w:val="20"/>
          <w:szCs w:val="20"/>
          <w:lang w:val="en-GB"/>
        </w:rPr>
        <w:t>,</w:t>
      </w:r>
      <w:r w:rsidR="006C6133">
        <w:rPr>
          <w:sz w:val="20"/>
          <w:szCs w:val="20"/>
          <w:lang w:val="en-GB"/>
        </w:rPr>
        <w:t xml:space="preserve"> expressed as plant sterol equivalents</w:t>
      </w:r>
      <w:r w:rsidRPr="00F0687E">
        <w:rPr>
          <w:sz w:val="20"/>
          <w:szCs w:val="20"/>
          <w:lang w:val="en-GB"/>
        </w:rPr>
        <w:t xml:space="preserve">, based on consumption of baseline foods with added plant sterols and consumption of breakfast cereals with the addition of plant sterols at 2.2 g/serve with adjustments specified in Table 3. </w:t>
      </w:r>
    </w:p>
    <w:p w14:paraId="32932D7F" w14:textId="77777777" w:rsidR="0051780C" w:rsidRPr="00E10D8F" w:rsidRDefault="0051780C" w:rsidP="0051780C">
      <w:pPr>
        <w:rPr>
          <w:lang w:val="en-GB"/>
        </w:rPr>
      </w:pPr>
    </w:p>
    <w:p w14:paraId="53452146" w14:textId="77777777" w:rsidR="0051780C" w:rsidRPr="00552334" w:rsidRDefault="0051780C" w:rsidP="00997D23">
      <w:pPr>
        <w:pStyle w:val="Heading1"/>
      </w:pPr>
      <w:bookmarkStart w:id="378" w:name="_Toc463507654"/>
      <w:bookmarkStart w:id="379" w:name="_Toc463881795"/>
      <w:bookmarkStart w:id="380" w:name="_Toc464569650"/>
      <w:bookmarkStart w:id="381" w:name="_Toc466903406"/>
      <w:bookmarkStart w:id="382" w:name="_Toc466909071"/>
      <w:bookmarkStart w:id="383" w:name="_Toc466986187"/>
      <w:bookmarkStart w:id="384" w:name="_Toc466986240"/>
      <w:bookmarkStart w:id="385" w:name="_Toc467052905"/>
      <w:bookmarkStart w:id="386" w:name="_Toc467064058"/>
      <w:bookmarkStart w:id="387" w:name="_Toc467064505"/>
      <w:bookmarkStart w:id="388" w:name="_Toc467077512"/>
      <w:bookmarkStart w:id="389" w:name="_Toc477274238"/>
      <w:r w:rsidRPr="00552334">
        <w:t>6</w:t>
      </w:r>
      <w:r w:rsidRPr="00552334">
        <w:tab/>
        <w:t>Uncertainties in the risk assessment</w:t>
      </w:r>
      <w:bookmarkEnd w:id="378"/>
      <w:bookmarkEnd w:id="379"/>
      <w:bookmarkEnd w:id="380"/>
      <w:bookmarkEnd w:id="381"/>
      <w:bookmarkEnd w:id="382"/>
      <w:bookmarkEnd w:id="383"/>
      <w:bookmarkEnd w:id="384"/>
      <w:bookmarkEnd w:id="385"/>
      <w:bookmarkEnd w:id="386"/>
      <w:bookmarkEnd w:id="387"/>
      <w:bookmarkEnd w:id="388"/>
      <w:bookmarkEnd w:id="389"/>
    </w:p>
    <w:p w14:paraId="43611B9F" w14:textId="5EB68576" w:rsidR="000A29AE" w:rsidRDefault="0051780C" w:rsidP="00D15974">
      <w:pPr>
        <w:widowControl/>
        <w:autoSpaceDE w:val="0"/>
        <w:autoSpaceDN w:val="0"/>
        <w:adjustRightInd w:val="0"/>
        <w:rPr>
          <w:rFonts w:ascii="ArialMT" w:hAnsi="ArialMT" w:cs="ArialMT"/>
          <w:szCs w:val="22"/>
          <w:lang w:val="en-GB" w:eastAsia="en-GB" w:bidi="ar-SA"/>
        </w:rPr>
      </w:pPr>
      <w:r w:rsidRPr="00552334">
        <w:rPr>
          <w:rFonts w:ascii="ArialMT" w:hAnsi="ArialMT" w:cs="ArialMT"/>
          <w:szCs w:val="22"/>
          <w:lang w:val="en-GB" w:eastAsia="en-GB" w:bidi="ar-SA"/>
        </w:rPr>
        <w:t xml:space="preserve">The available data on plant sterols in food technology, toxicology and nutrition studies </w:t>
      </w:r>
      <w:r w:rsidRPr="00E10D8F">
        <w:rPr>
          <w:rFonts w:ascii="ArialMT" w:hAnsi="ArialMT" w:cs="ArialMT"/>
          <w:szCs w:val="22"/>
          <w:lang w:val="en-GB" w:eastAsia="en-GB" w:bidi="ar-SA"/>
        </w:rPr>
        <w:t xml:space="preserve">are </w:t>
      </w:r>
      <w:r w:rsidRPr="00552334">
        <w:rPr>
          <w:rFonts w:ascii="ArialMT" w:hAnsi="ArialMT" w:cs="ArialMT"/>
          <w:szCs w:val="22"/>
          <w:lang w:val="en-GB" w:eastAsia="en-GB" w:bidi="ar-SA"/>
        </w:rPr>
        <w:t>generally sufficient to provide a high level of confidence in the conclusions of this report in regards to the safety and suitability of fortifying breakfast cereals with increased amounts of plant sterols. These conclusions are extended mainly to the adult population, while there is no significant benefit or adverse effect for children or pregnant and lactating women.</w:t>
      </w:r>
      <w:r w:rsidR="00A06F1F">
        <w:rPr>
          <w:lang w:val="en-GB"/>
        </w:rPr>
        <w:t xml:space="preserve"> </w:t>
      </w:r>
      <w:r w:rsidRPr="00552334">
        <w:rPr>
          <w:rFonts w:ascii="ArialMT" w:hAnsi="ArialMT" w:cs="ArialMT"/>
          <w:szCs w:val="22"/>
          <w:lang w:val="en-GB" w:eastAsia="en-GB" w:bidi="ar-SA"/>
        </w:rPr>
        <w:t>Based on the available knowledge on the mode of action of plant sterols, the current extensive experience on using foods fortified with plant sterol in the general population and an absence of adverse effects in children or pregnant women and animals and their offspring, there is no basis for postulating a risk to these population subgroups.</w:t>
      </w:r>
    </w:p>
    <w:p w14:paraId="75E88CAA" w14:textId="77777777" w:rsidR="0051780C" w:rsidRPr="00552334" w:rsidRDefault="0051780C" w:rsidP="0051780C">
      <w:pPr>
        <w:widowControl/>
        <w:autoSpaceDE w:val="0"/>
        <w:autoSpaceDN w:val="0"/>
        <w:adjustRightInd w:val="0"/>
        <w:rPr>
          <w:rFonts w:ascii="ArialMT" w:hAnsi="ArialMT"/>
          <w:lang w:val="en-GB" w:eastAsia="en-GB"/>
        </w:rPr>
      </w:pPr>
    </w:p>
    <w:p w14:paraId="75693CEE" w14:textId="77777777" w:rsidR="0051780C" w:rsidRPr="00552334" w:rsidRDefault="0051780C" w:rsidP="00997D23">
      <w:pPr>
        <w:pStyle w:val="Heading1"/>
      </w:pPr>
      <w:bookmarkStart w:id="390" w:name="_Toc463507655"/>
      <w:bookmarkStart w:id="391" w:name="_Toc463881796"/>
      <w:bookmarkStart w:id="392" w:name="_Toc464569651"/>
      <w:bookmarkStart w:id="393" w:name="_Toc466903407"/>
      <w:bookmarkStart w:id="394" w:name="_Toc466909072"/>
      <w:bookmarkStart w:id="395" w:name="_Toc466986188"/>
      <w:bookmarkStart w:id="396" w:name="_Toc466986241"/>
      <w:bookmarkStart w:id="397" w:name="_Toc467052906"/>
      <w:bookmarkStart w:id="398" w:name="_Toc467064059"/>
      <w:bookmarkStart w:id="399" w:name="_Toc467064506"/>
      <w:bookmarkStart w:id="400" w:name="_Toc467077513"/>
      <w:bookmarkStart w:id="401" w:name="_Toc477274239"/>
      <w:r w:rsidRPr="00552334">
        <w:t>7</w:t>
      </w:r>
      <w:r w:rsidRPr="00552334">
        <w:tab/>
        <w:t>Conclusions</w:t>
      </w:r>
      <w:bookmarkEnd w:id="245"/>
      <w:bookmarkEnd w:id="390"/>
      <w:bookmarkEnd w:id="391"/>
      <w:bookmarkEnd w:id="392"/>
      <w:bookmarkEnd w:id="393"/>
      <w:bookmarkEnd w:id="394"/>
      <w:bookmarkEnd w:id="395"/>
      <w:bookmarkEnd w:id="396"/>
      <w:bookmarkEnd w:id="397"/>
      <w:bookmarkEnd w:id="398"/>
      <w:bookmarkEnd w:id="399"/>
      <w:bookmarkEnd w:id="400"/>
      <w:bookmarkEnd w:id="401"/>
    </w:p>
    <w:p w14:paraId="61537B4F" w14:textId="77777777" w:rsidR="0051780C" w:rsidRPr="00F0687E" w:rsidRDefault="0051780C" w:rsidP="0051780C">
      <w:pPr>
        <w:rPr>
          <w:lang w:val="en-GB" w:bidi="ar-SA"/>
        </w:rPr>
      </w:pPr>
      <w:r w:rsidRPr="00F0687E">
        <w:rPr>
          <w:lang w:val="en-GB" w:bidi="ar-SA"/>
        </w:rPr>
        <w:t xml:space="preserve">Breakfast cereals are not subjected to very high processing temperatures and oxidising conditions and because plant sterols are very stable compounds very few losses of plant sterols added to breakfast cereals are expected. Adding plant sterols at higher levels than currently permitted in breakfast cereals is concluded to be technologically feasible as methods are available to incorporate them. There are analytical methods available and specifications in the Code for plant sterols. </w:t>
      </w:r>
    </w:p>
    <w:p w14:paraId="5AAE617C" w14:textId="7B74BCD3" w:rsidR="00724D8F" w:rsidRDefault="00724D8F" w:rsidP="0051780C">
      <w:pPr>
        <w:rPr>
          <w:lang w:val="en-GB" w:bidi="ar-SA"/>
        </w:rPr>
      </w:pPr>
      <w:r>
        <w:rPr>
          <w:lang w:val="en-GB" w:bidi="ar-SA"/>
        </w:rPr>
        <w:br w:type="page"/>
      </w:r>
    </w:p>
    <w:p w14:paraId="6EDEBF71" w14:textId="77777777" w:rsidR="0051780C" w:rsidRPr="00F0687E" w:rsidRDefault="0051780C" w:rsidP="0051780C">
      <w:pPr>
        <w:rPr>
          <w:lang w:val="en-GB" w:bidi="ar-SA"/>
        </w:rPr>
      </w:pPr>
      <w:r w:rsidRPr="00F0687E">
        <w:rPr>
          <w:rFonts w:cs="Arial"/>
          <w:szCs w:val="22"/>
          <w:lang w:val="en-GB"/>
        </w:rPr>
        <w:lastRenderedPageBreak/>
        <w:t>A</w:t>
      </w:r>
      <w:r w:rsidRPr="00F0687E">
        <w:rPr>
          <w:lang w:val="en-GB" w:bidi="ar-SA"/>
        </w:rPr>
        <w:t xml:space="preserve"> review of the recent literature has not identified evidence to alter the conclusion reached previously by FSANZ, that a specified ADI is not justified for plant sterols for the general population. FSANZ has no toxicological concerns regarding the addition of plant sterols to breakfast cereals up to the concentrations proposed in the Application, for consumption by the general population. However, appropriate risk management measures are required for individuals with phytosterolaemia (sitosterolaemia).</w:t>
      </w:r>
    </w:p>
    <w:p w14:paraId="72633361" w14:textId="77777777" w:rsidR="0051780C" w:rsidRPr="00F0687E" w:rsidRDefault="0051780C" w:rsidP="0051780C">
      <w:pPr>
        <w:rPr>
          <w:lang w:val="en-GB" w:bidi="ar-SA"/>
        </w:rPr>
      </w:pPr>
    </w:p>
    <w:p w14:paraId="62B70EA4" w14:textId="14862651" w:rsidR="0051780C" w:rsidRPr="00F0687E" w:rsidRDefault="0051780C" w:rsidP="0051780C">
      <w:pPr>
        <w:rPr>
          <w:lang w:val="en-GB" w:bidi="ar-SA"/>
        </w:rPr>
      </w:pPr>
      <w:r w:rsidRPr="00F0687E">
        <w:rPr>
          <w:rFonts w:cs="Arial"/>
          <w:szCs w:val="22"/>
          <w:lang w:val="en-GB"/>
        </w:rPr>
        <w:t xml:space="preserve">The current evidence shows that </w:t>
      </w:r>
      <w:r w:rsidR="00B32437">
        <w:rPr>
          <w:rFonts w:cs="Arial"/>
          <w:szCs w:val="22"/>
          <w:lang w:val="en-GB"/>
        </w:rPr>
        <w:t xml:space="preserve">for </w:t>
      </w:r>
      <w:r w:rsidRPr="00F0687E">
        <w:rPr>
          <w:rFonts w:cs="Arial"/>
          <w:szCs w:val="22"/>
          <w:lang w:val="en-GB"/>
        </w:rPr>
        <w:t>consum</w:t>
      </w:r>
      <w:r w:rsidR="00B32437">
        <w:rPr>
          <w:rFonts w:cs="Arial"/>
          <w:szCs w:val="22"/>
          <w:lang w:val="en-GB"/>
        </w:rPr>
        <w:t>ption</w:t>
      </w:r>
      <w:r w:rsidRPr="00F0687E">
        <w:rPr>
          <w:rFonts w:cs="Arial"/>
          <w:szCs w:val="22"/>
          <w:lang w:val="en-GB"/>
        </w:rPr>
        <w:t xml:space="preserve"> </w:t>
      </w:r>
      <w:r w:rsidR="00B32437">
        <w:rPr>
          <w:rFonts w:cs="Arial"/>
          <w:szCs w:val="22"/>
          <w:lang w:val="en-GB"/>
        </w:rPr>
        <w:t xml:space="preserve">of </w:t>
      </w:r>
      <w:r w:rsidRPr="00F0687E">
        <w:rPr>
          <w:rFonts w:cs="Arial"/>
          <w:szCs w:val="22"/>
          <w:lang w:val="en-GB"/>
        </w:rPr>
        <w:t>plant sterol-fortified food by humans at the dose proposed in the Application and highe</w:t>
      </w:r>
      <w:r w:rsidR="000355EB">
        <w:rPr>
          <w:rFonts w:cs="Arial"/>
          <w:szCs w:val="22"/>
          <w:lang w:val="en-GB"/>
        </w:rPr>
        <w:t>r,</w:t>
      </w:r>
      <w:r w:rsidRPr="00F0687E">
        <w:rPr>
          <w:rFonts w:cs="Arial"/>
          <w:szCs w:val="22"/>
          <w:lang w:val="en-GB"/>
        </w:rPr>
        <w:t xml:space="preserve"> the concentrations of fat-soluble vitamins remain unchanged in the blood </w:t>
      </w:r>
      <w:r w:rsidRPr="00F0687E">
        <w:rPr>
          <w:lang w:val="en-GB" w:eastAsia="en-AU" w:bidi="ar-SA"/>
        </w:rPr>
        <w:t>when adjusted to the changes in the total and LDL cholesterol</w:t>
      </w:r>
      <w:r w:rsidR="00B32437">
        <w:rPr>
          <w:lang w:val="en-GB" w:eastAsia="en-AU" w:bidi="ar-SA"/>
        </w:rPr>
        <w:t>;</w:t>
      </w:r>
      <w:r w:rsidRPr="00F0687E">
        <w:rPr>
          <w:lang w:val="en-GB" w:eastAsia="en-AU" w:bidi="ar-SA"/>
        </w:rPr>
        <w:t xml:space="preserve"> and carotenoids remain within the broad natural range of variation.</w:t>
      </w:r>
      <w:r w:rsidRPr="00F0687E">
        <w:rPr>
          <w:rFonts w:cs="Arial"/>
          <w:szCs w:val="22"/>
          <w:lang w:val="en-GB"/>
        </w:rPr>
        <w:t xml:space="preserve"> Therefore, consuming plant sterol-fortified food at the proposed dose </w:t>
      </w:r>
      <w:r w:rsidRPr="00F0687E">
        <w:rPr>
          <w:lang w:val="en-GB" w:bidi="ar-SA"/>
        </w:rPr>
        <w:t>is not considered to pose a nutritional risk for humans.</w:t>
      </w:r>
    </w:p>
    <w:p w14:paraId="23B993E7" w14:textId="77777777" w:rsidR="0051780C" w:rsidRPr="00F0687E" w:rsidRDefault="0051780C" w:rsidP="0051780C">
      <w:pPr>
        <w:rPr>
          <w:lang w:val="en-GB"/>
        </w:rPr>
      </w:pPr>
    </w:p>
    <w:p w14:paraId="2B9C19D0" w14:textId="0D4AC5CF" w:rsidR="000A4CC0" w:rsidRDefault="000C3A5D" w:rsidP="0051780C">
      <w:pPr>
        <w:rPr>
          <w:rFonts w:cs="Arial"/>
          <w:szCs w:val="22"/>
          <w:lang w:val="en-GB"/>
        </w:rPr>
      </w:pPr>
      <w:r>
        <w:rPr>
          <w:rFonts w:cs="Arial"/>
          <w:szCs w:val="22"/>
          <w:lang w:val="en-GB"/>
        </w:rPr>
        <w:t>T</w:t>
      </w:r>
      <w:r w:rsidR="0051780C" w:rsidRPr="00F0687E">
        <w:rPr>
          <w:rFonts w:cs="Arial"/>
          <w:szCs w:val="22"/>
          <w:lang w:val="en-GB"/>
        </w:rPr>
        <w:t xml:space="preserve">wo approaches </w:t>
      </w:r>
      <w:r>
        <w:rPr>
          <w:rFonts w:cs="Arial"/>
          <w:szCs w:val="22"/>
          <w:lang w:val="en-GB"/>
        </w:rPr>
        <w:t xml:space="preserve">were used </w:t>
      </w:r>
      <w:r w:rsidR="0051780C" w:rsidRPr="00F0687E">
        <w:rPr>
          <w:rFonts w:cs="Arial"/>
          <w:szCs w:val="22"/>
          <w:lang w:val="en-GB"/>
        </w:rPr>
        <w:t xml:space="preserve">to estimate plant sterol exposure from breakfast cereals containing added plant sterols. The first </w:t>
      </w:r>
      <w:r w:rsidR="00E14A28">
        <w:rPr>
          <w:rFonts w:cs="Arial"/>
          <w:szCs w:val="22"/>
          <w:lang w:val="en-GB"/>
        </w:rPr>
        <w:t>‘</w:t>
      </w:r>
      <w:r w:rsidR="005F6B4F">
        <w:rPr>
          <w:rFonts w:cs="Arial"/>
          <w:szCs w:val="22"/>
          <w:lang w:val="en-GB"/>
        </w:rPr>
        <w:t>per portion</w:t>
      </w:r>
      <w:r w:rsidR="00E14A28">
        <w:rPr>
          <w:rFonts w:cs="Arial"/>
          <w:szCs w:val="22"/>
          <w:lang w:val="en-GB"/>
        </w:rPr>
        <w:t>’</w:t>
      </w:r>
      <w:r w:rsidR="005F6B4F">
        <w:rPr>
          <w:rFonts w:cs="Arial"/>
          <w:szCs w:val="22"/>
          <w:lang w:val="en-GB"/>
        </w:rPr>
        <w:t xml:space="preserve"> </w:t>
      </w:r>
      <w:r w:rsidR="0051780C" w:rsidRPr="00F0687E">
        <w:rPr>
          <w:rFonts w:cs="Arial"/>
          <w:szCs w:val="22"/>
          <w:lang w:val="en-GB"/>
        </w:rPr>
        <w:t xml:space="preserve">approach estimated total dietary exposure based on consumption of foods with existing permissions to add plant sterols </w:t>
      </w:r>
      <w:r w:rsidR="006B5C39" w:rsidRPr="002166FB">
        <w:rPr>
          <w:rFonts w:cs="Arial"/>
          <w:szCs w:val="22"/>
          <w:lang w:val="en-GB"/>
        </w:rPr>
        <w:t xml:space="preserve">(i.e. the baseline exposure, estimated from the consumption of plant sterol-containing foods as reported in recent National Nutrition Surveys for Australian and New Zealand populations) </w:t>
      </w:r>
      <w:r w:rsidR="0051780C" w:rsidRPr="006B5C39">
        <w:rPr>
          <w:rFonts w:cs="Arial"/>
          <w:szCs w:val="22"/>
          <w:lang w:val="en-GB"/>
        </w:rPr>
        <w:t xml:space="preserve">and consumption of a </w:t>
      </w:r>
      <w:r w:rsidR="0040536E" w:rsidRPr="006B5C39">
        <w:rPr>
          <w:rFonts w:cs="Arial"/>
          <w:szCs w:val="22"/>
          <w:lang w:val="en-GB"/>
        </w:rPr>
        <w:t xml:space="preserve">serving </w:t>
      </w:r>
      <w:r w:rsidR="0051780C" w:rsidRPr="006B5C39">
        <w:rPr>
          <w:rFonts w:cs="Arial"/>
          <w:szCs w:val="22"/>
          <w:lang w:val="en-GB"/>
        </w:rPr>
        <w:t>of breakfast cereal containing 2.2 g of plant sterols</w:t>
      </w:r>
      <w:r w:rsidR="0040536E" w:rsidRPr="006B5C39">
        <w:rPr>
          <w:rFonts w:cs="Arial"/>
          <w:szCs w:val="22"/>
          <w:lang w:val="en-GB"/>
        </w:rPr>
        <w:t>.</w:t>
      </w:r>
      <w:r w:rsidR="0051780C" w:rsidRPr="006B5C39">
        <w:rPr>
          <w:rFonts w:cs="Arial"/>
          <w:szCs w:val="22"/>
          <w:lang w:val="en-GB"/>
        </w:rPr>
        <w:t xml:space="preserve"> </w:t>
      </w:r>
      <w:r w:rsidR="0051780C" w:rsidRPr="00F0687E">
        <w:rPr>
          <w:rFonts w:cs="Arial"/>
          <w:szCs w:val="22"/>
          <w:lang w:val="en-GB"/>
        </w:rPr>
        <w:t xml:space="preserve">Across all surveys and age groups assessed for </w:t>
      </w:r>
      <w:r w:rsidR="0051780C" w:rsidRPr="00F0687E">
        <w:rPr>
          <w:lang w:val="en-GB"/>
        </w:rPr>
        <w:t>Australian (aged 2 years and over) and New Zealand (aged 15 years and over) populations</w:t>
      </w:r>
      <w:r w:rsidR="0051780C" w:rsidRPr="00F0687E">
        <w:rPr>
          <w:rFonts w:cs="Arial"/>
          <w:szCs w:val="22"/>
          <w:lang w:val="en-GB"/>
        </w:rPr>
        <w:t>, the total estimated dietary exposures to plant sterols by this approach were 2.7–4.0 g/day and 3.0–5.1 g/day</w:t>
      </w:r>
      <w:r w:rsidR="006E4B18">
        <w:rPr>
          <w:rFonts w:cs="Arial"/>
          <w:szCs w:val="22"/>
          <w:lang w:val="en-GB"/>
        </w:rPr>
        <w:t xml:space="preserve"> for the mean and P90 exposures</w:t>
      </w:r>
      <w:r w:rsidR="0051780C" w:rsidRPr="00F0687E">
        <w:rPr>
          <w:rFonts w:cs="Arial"/>
          <w:szCs w:val="22"/>
          <w:lang w:val="en-GB"/>
        </w:rPr>
        <w:t xml:space="preserve"> respectively</w:t>
      </w:r>
      <w:r w:rsidR="006E4B18">
        <w:rPr>
          <w:rFonts w:cs="Arial"/>
          <w:szCs w:val="22"/>
          <w:lang w:val="en-GB"/>
        </w:rPr>
        <w:t>, expressed as plant sterol equivalents</w:t>
      </w:r>
      <w:r w:rsidR="0051780C" w:rsidRPr="00F0687E">
        <w:rPr>
          <w:rFonts w:cs="Arial"/>
          <w:szCs w:val="22"/>
          <w:lang w:val="en-GB"/>
        </w:rPr>
        <w:t xml:space="preserve">. </w:t>
      </w:r>
    </w:p>
    <w:p w14:paraId="22A977F3" w14:textId="77777777" w:rsidR="000A4CC0" w:rsidRDefault="000A4CC0" w:rsidP="0051780C">
      <w:pPr>
        <w:rPr>
          <w:rFonts w:cs="Arial"/>
          <w:szCs w:val="22"/>
          <w:lang w:val="en-GB"/>
        </w:rPr>
      </w:pPr>
    </w:p>
    <w:p w14:paraId="216BD518" w14:textId="4EF3E346" w:rsidR="0051780C" w:rsidRPr="00F0687E" w:rsidRDefault="0051780C" w:rsidP="0051780C">
      <w:pPr>
        <w:rPr>
          <w:rFonts w:cs="Arial"/>
          <w:szCs w:val="22"/>
          <w:lang w:val="en-GB"/>
        </w:rPr>
      </w:pPr>
      <w:r w:rsidRPr="00F0687E">
        <w:rPr>
          <w:rFonts w:cs="Arial"/>
          <w:szCs w:val="22"/>
          <w:lang w:val="en-GB"/>
        </w:rPr>
        <w:t xml:space="preserve">The second scenario </w:t>
      </w:r>
      <w:r w:rsidR="00902B49">
        <w:rPr>
          <w:rFonts w:cs="Arial"/>
          <w:szCs w:val="22"/>
          <w:lang w:val="en-GB"/>
        </w:rPr>
        <w:t>modelling approach</w:t>
      </w:r>
      <w:r w:rsidRPr="00F0687E">
        <w:rPr>
          <w:rFonts w:cs="Arial"/>
          <w:szCs w:val="22"/>
          <w:lang w:val="en-GB"/>
        </w:rPr>
        <w:t xml:space="preserve"> estimate</w:t>
      </w:r>
      <w:r w:rsidR="00902B49">
        <w:rPr>
          <w:rFonts w:cs="Arial"/>
          <w:szCs w:val="22"/>
          <w:lang w:val="en-GB"/>
        </w:rPr>
        <w:t>d</w:t>
      </w:r>
      <w:r w:rsidRPr="00F0687E">
        <w:rPr>
          <w:rFonts w:cs="Arial"/>
          <w:szCs w:val="22"/>
          <w:lang w:val="en-GB"/>
        </w:rPr>
        <w:t xml:space="preserve"> chronic plant sterol exposure if </w:t>
      </w:r>
      <w:r w:rsidR="00902B49">
        <w:rPr>
          <w:rFonts w:cs="Arial"/>
          <w:szCs w:val="22"/>
          <w:lang w:val="en-GB"/>
        </w:rPr>
        <w:t xml:space="preserve">assuming </w:t>
      </w:r>
      <w:r w:rsidRPr="00F0687E">
        <w:rPr>
          <w:rFonts w:cs="Arial"/>
          <w:szCs w:val="22"/>
          <w:lang w:val="en-GB"/>
        </w:rPr>
        <w:t xml:space="preserve">all breakfast cereals contained plant sterols at the proposed maximum permitted amount of 2.2 g/serve. </w:t>
      </w:r>
      <w:r w:rsidR="006032CB" w:rsidRPr="00F0687E">
        <w:rPr>
          <w:rFonts w:cs="Arial"/>
          <w:szCs w:val="22"/>
          <w:lang w:val="en-GB"/>
        </w:rPr>
        <w:t>Using th</w:t>
      </w:r>
      <w:r w:rsidR="006032CB">
        <w:rPr>
          <w:rFonts w:cs="Arial"/>
          <w:szCs w:val="22"/>
          <w:lang w:val="en-GB"/>
        </w:rPr>
        <w:t>is</w:t>
      </w:r>
      <w:r w:rsidR="006032CB" w:rsidRPr="00F0687E">
        <w:rPr>
          <w:rFonts w:cs="Arial"/>
          <w:szCs w:val="22"/>
          <w:lang w:val="en-GB"/>
        </w:rPr>
        <w:t xml:space="preserve"> second approach </w:t>
      </w:r>
      <w:r w:rsidR="006032CB">
        <w:rPr>
          <w:rFonts w:cs="Arial"/>
          <w:szCs w:val="22"/>
          <w:lang w:val="en-GB"/>
        </w:rPr>
        <w:t>t</w:t>
      </w:r>
      <w:r w:rsidRPr="00F0687E">
        <w:rPr>
          <w:rFonts w:cs="Arial"/>
          <w:szCs w:val="22"/>
          <w:lang w:val="en-GB"/>
        </w:rPr>
        <w:t>he total estimated dietary exposures to plant sterols for Australian consumers aged 2 years and above was 3.2 g/day and 6.5 g/day for the mean and P90 exposures respectively</w:t>
      </w:r>
      <w:r w:rsidR="00902B49">
        <w:rPr>
          <w:rFonts w:cs="Arial"/>
          <w:szCs w:val="22"/>
          <w:lang w:val="en-GB"/>
        </w:rPr>
        <w:t>, expressed as plant sterol equivalents</w:t>
      </w:r>
      <w:r w:rsidRPr="00F0687E">
        <w:rPr>
          <w:rFonts w:cs="Arial"/>
          <w:szCs w:val="22"/>
          <w:lang w:val="en-GB"/>
        </w:rPr>
        <w:t>.</w:t>
      </w:r>
      <w:r w:rsidR="006032CB">
        <w:rPr>
          <w:rFonts w:cs="Arial"/>
          <w:szCs w:val="22"/>
          <w:lang w:val="en-GB"/>
        </w:rPr>
        <w:t xml:space="preserve"> I</w:t>
      </w:r>
      <w:r w:rsidRPr="00F0687E">
        <w:rPr>
          <w:rFonts w:cs="Arial"/>
          <w:szCs w:val="22"/>
          <w:lang w:val="en-GB"/>
        </w:rPr>
        <w:t xml:space="preserve">t was also predicted that </w:t>
      </w:r>
      <w:r w:rsidR="00D966B5">
        <w:rPr>
          <w:rFonts w:cs="Arial"/>
          <w:szCs w:val="22"/>
          <w:lang w:val="en-GB"/>
        </w:rPr>
        <w:t>0-2.6</w:t>
      </w:r>
      <w:r w:rsidRPr="00F0687E">
        <w:rPr>
          <w:rFonts w:cs="Arial"/>
          <w:szCs w:val="22"/>
          <w:lang w:val="en-GB"/>
        </w:rPr>
        <w:t xml:space="preserve">% of the </w:t>
      </w:r>
      <w:r w:rsidR="00902B49">
        <w:rPr>
          <w:rFonts w:cs="Arial"/>
          <w:szCs w:val="22"/>
          <w:lang w:val="en-GB"/>
        </w:rPr>
        <w:t xml:space="preserve">Australian </w:t>
      </w:r>
      <w:r w:rsidRPr="00F0687E">
        <w:rPr>
          <w:rFonts w:cs="Arial"/>
          <w:szCs w:val="22"/>
          <w:lang w:val="en-GB"/>
        </w:rPr>
        <w:t xml:space="preserve">population </w:t>
      </w:r>
      <w:r w:rsidR="00D966B5">
        <w:rPr>
          <w:rFonts w:cs="Arial"/>
          <w:szCs w:val="22"/>
          <w:lang w:val="en-GB"/>
        </w:rPr>
        <w:t xml:space="preserve">aged 2 years and up </w:t>
      </w:r>
      <w:r w:rsidRPr="00F0687E">
        <w:rPr>
          <w:rFonts w:cs="Arial"/>
          <w:szCs w:val="22"/>
          <w:lang w:val="en-GB"/>
        </w:rPr>
        <w:t xml:space="preserve">would be exposed to more than </w:t>
      </w:r>
      <w:r w:rsidR="00D966B5">
        <w:rPr>
          <w:rFonts w:cs="Arial"/>
          <w:szCs w:val="22"/>
          <w:lang w:val="en-GB"/>
        </w:rPr>
        <w:t>9</w:t>
      </w:r>
      <w:r w:rsidRPr="00F0687E">
        <w:rPr>
          <w:rFonts w:cs="Arial"/>
          <w:szCs w:val="22"/>
          <w:lang w:val="en-GB"/>
        </w:rPr>
        <w:t xml:space="preserve"> g/day of added dietary plant sterols equivalents</w:t>
      </w:r>
      <w:r w:rsidR="00D94DA2">
        <w:rPr>
          <w:rFonts w:cs="Arial"/>
          <w:szCs w:val="22"/>
          <w:lang w:val="en-GB"/>
        </w:rPr>
        <w:t>,</w:t>
      </w:r>
      <w:r w:rsidRPr="00F0687E">
        <w:rPr>
          <w:rFonts w:cs="Arial"/>
          <w:szCs w:val="22"/>
          <w:lang w:val="en-GB"/>
        </w:rPr>
        <w:t xml:space="preserve"> an amount that has been shown in humans to cause no adverse health effec</w:t>
      </w:r>
      <w:r w:rsidR="00E14A28">
        <w:rPr>
          <w:rFonts w:cs="Arial"/>
          <w:szCs w:val="22"/>
          <w:lang w:val="en-GB"/>
        </w:rPr>
        <w:t xml:space="preserve">ts. This estimate represents a </w:t>
      </w:r>
      <w:r w:rsidR="007A1A7D">
        <w:rPr>
          <w:rFonts w:cs="Arial"/>
          <w:szCs w:val="22"/>
          <w:lang w:val="en-GB"/>
        </w:rPr>
        <w:t xml:space="preserve">conservative estimate </w:t>
      </w:r>
      <w:r w:rsidRPr="00F0687E">
        <w:rPr>
          <w:rFonts w:cs="Arial"/>
          <w:szCs w:val="22"/>
          <w:lang w:val="en-GB"/>
        </w:rPr>
        <w:t xml:space="preserve">since it assumed that persons who reported consuming breakfast cereal in the survey would consume the same amount of cereal containing added plant sterols at the proposed maximum permitted amount. </w:t>
      </w:r>
      <w:r w:rsidR="00A5396F" w:rsidRPr="00A5396F">
        <w:rPr>
          <w:rFonts w:cs="Arial"/>
          <w:szCs w:val="22"/>
          <w:lang w:val="en-GB"/>
        </w:rPr>
        <w:t>This scenario accounts for the brand loyal consumer.</w:t>
      </w:r>
      <w:r w:rsidRPr="00F0687E">
        <w:rPr>
          <w:rFonts w:cs="Arial"/>
          <w:szCs w:val="22"/>
          <w:lang w:val="en-GB"/>
        </w:rPr>
        <w:t xml:space="preserve"> Occasional ingestion of plant sterols at these levels is unlikely to pose any safety concerns.</w:t>
      </w:r>
    </w:p>
    <w:p w14:paraId="643192BE" w14:textId="45D3DF7D" w:rsidR="002166FB" w:rsidRDefault="002166FB" w:rsidP="00B447E8">
      <w:pPr>
        <w:rPr>
          <w:lang w:val="en-GB" w:eastAsia="en-AU" w:bidi="ar-SA"/>
        </w:rPr>
      </w:pPr>
    </w:p>
    <w:p w14:paraId="223E514D" w14:textId="55316D0E" w:rsidR="0051780C" w:rsidRPr="00F0687E" w:rsidRDefault="0051780C" w:rsidP="0051780C">
      <w:pPr>
        <w:rPr>
          <w:lang w:val="en-GB" w:eastAsia="en-AU" w:bidi="ar-SA"/>
        </w:rPr>
      </w:pPr>
      <w:r w:rsidRPr="00F0687E">
        <w:rPr>
          <w:lang w:val="en-GB" w:eastAsia="en-AU" w:bidi="ar-SA"/>
        </w:rPr>
        <w:t>Overall, the available data for plant sterols are considered to provide a high level of confidence in the safety and suitability of plant sterol fortified breakfast cereal products at the proposed maximum concentration, for all population groups.</w:t>
      </w:r>
    </w:p>
    <w:p w14:paraId="4BC1BB3B" w14:textId="77777777" w:rsidR="0051780C" w:rsidRPr="00F0687E" w:rsidRDefault="0051780C" w:rsidP="0051780C">
      <w:pPr>
        <w:rPr>
          <w:rFonts w:cs="Arial"/>
          <w:szCs w:val="22"/>
          <w:lang w:val="en-GB"/>
        </w:rPr>
      </w:pPr>
    </w:p>
    <w:p w14:paraId="6238B27A" w14:textId="77777777" w:rsidR="0051780C" w:rsidRPr="00552334" w:rsidRDefault="0051780C" w:rsidP="00997D23">
      <w:pPr>
        <w:pStyle w:val="Heading1"/>
      </w:pPr>
      <w:bookmarkStart w:id="402" w:name="_Toc463507656"/>
      <w:bookmarkStart w:id="403" w:name="_Toc463881797"/>
      <w:bookmarkStart w:id="404" w:name="_Toc464569652"/>
      <w:bookmarkStart w:id="405" w:name="_Toc466903408"/>
      <w:bookmarkStart w:id="406" w:name="_Toc466909073"/>
      <w:bookmarkStart w:id="407" w:name="_Toc466986189"/>
      <w:bookmarkStart w:id="408" w:name="_Toc466986242"/>
      <w:bookmarkStart w:id="409" w:name="_Toc467052907"/>
      <w:bookmarkStart w:id="410" w:name="_Toc467064060"/>
      <w:bookmarkStart w:id="411" w:name="_Toc467064507"/>
      <w:bookmarkStart w:id="412" w:name="_Toc467077514"/>
      <w:bookmarkStart w:id="413" w:name="_Toc477274240"/>
      <w:r w:rsidRPr="00552334">
        <w:t>8</w:t>
      </w:r>
      <w:r w:rsidRPr="00552334">
        <w:tab/>
        <w:t>References</w:t>
      </w:r>
      <w:bookmarkEnd w:id="402"/>
      <w:bookmarkEnd w:id="403"/>
      <w:bookmarkEnd w:id="404"/>
      <w:bookmarkEnd w:id="405"/>
      <w:bookmarkEnd w:id="406"/>
      <w:bookmarkEnd w:id="407"/>
      <w:bookmarkEnd w:id="408"/>
      <w:bookmarkEnd w:id="409"/>
      <w:bookmarkEnd w:id="410"/>
      <w:bookmarkEnd w:id="411"/>
      <w:bookmarkEnd w:id="412"/>
      <w:bookmarkEnd w:id="413"/>
    </w:p>
    <w:p w14:paraId="3943CE7D" w14:textId="7F8BD01B" w:rsidR="00335CC0" w:rsidRPr="00335CC0" w:rsidRDefault="0051780C" w:rsidP="00335CC0">
      <w:pPr>
        <w:autoSpaceDE w:val="0"/>
        <w:autoSpaceDN w:val="0"/>
        <w:adjustRightInd w:val="0"/>
        <w:spacing w:after="240"/>
        <w:rPr>
          <w:rFonts w:cs="Arial"/>
          <w:noProof/>
          <w:sz w:val="20"/>
        </w:rPr>
      </w:pPr>
      <w:r w:rsidRPr="00547FB5">
        <w:rPr>
          <w:lang w:val="en-GB"/>
        </w:rPr>
        <w:fldChar w:fldCharType="begin" w:fldLock="1"/>
      </w:r>
      <w:r w:rsidRPr="00547FB5">
        <w:rPr>
          <w:lang w:val="en-GB"/>
        </w:rPr>
        <w:instrText xml:space="preserve">ADDIN Mendeley Bibliography CSL_BIBLIOGRAPHY </w:instrText>
      </w:r>
      <w:r w:rsidRPr="00547FB5">
        <w:rPr>
          <w:lang w:val="en-GB"/>
        </w:rPr>
        <w:fldChar w:fldCharType="separate"/>
      </w:r>
      <w:r w:rsidR="00335CC0" w:rsidRPr="00335CC0">
        <w:rPr>
          <w:rFonts w:cs="Arial"/>
          <w:noProof/>
          <w:sz w:val="20"/>
        </w:rPr>
        <w:t>ABS (2014) National Nutrition and Physical Activity Survey, 2011-12, Basic CURF. Australian Government, Canberra</w:t>
      </w:r>
    </w:p>
    <w:p w14:paraId="7955567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Albi T, Lanzón A, Guinda A, Pérez-Camino MC, León M (1997) Microwave and Conventional Heating Effects on Some Physical and Chemical Parameters of Edible Fats. J Agric Food Chem 45:3000–3003.</w:t>
      </w:r>
    </w:p>
    <w:p w14:paraId="59E40BBE" w14:textId="773CB843" w:rsidR="00724D8F" w:rsidRDefault="00335CC0" w:rsidP="00335CC0">
      <w:pPr>
        <w:autoSpaceDE w:val="0"/>
        <w:autoSpaceDN w:val="0"/>
        <w:adjustRightInd w:val="0"/>
        <w:spacing w:after="240"/>
        <w:rPr>
          <w:rFonts w:cs="Arial"/>
          <w:noProof/>
          <w:sz w:val="20"/>
        </w:rPr>
      </w:pPr>
      <w:r w:rsidRPr="00335CC0">
        <w:rPr>
          <w:rFonts w:cs="Arial"/>
          <w:noProof/>
          <w:sz w:val="20"/>
        </w:rPr>
        <w:t>Amundsen ÅL, Ntanios F, Put N van der, Ose L (2004) Long-term compliance and changes in plasma lipids, plant sterols and carotenoids in children and parents with FH consuming plant sterol ester-enriched spread. Eur J Clin Nutr 58:1612–1620.</w:t>
      </w:r>
      <w:r w:rsidR="00724D8F">
        <w:rPr>
          <w:rFonts w:cs="Arial"/>
          <w:noProof/>
          <w:sz w:val="20"/>
        </w:rPr>
        <w:br w:type="page"/>
      </w:r>
    </w:p>
    <w:p w14:paraId="1CA36E7D"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lastRenderedPageBreak/>
        <w:t>Amundsen ÅL, Ose L, Nenseter MS, Ntanios FY (2002) Plant sterol ester-enriched spread lowers plasma total and LDL cholesterol in children with familial hypercholesterolemia. Am J Clin Nutr 76:338–344.</w:t>
      </w:r>
    </w:p>
    <w:p w14:paraId="44D26B8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 xml:space="preserve">AOAC International (2011) AOAC Official Method 994.10: Cholesterol in Foods. Direct Saponification—Gas Chromatographic Method. In: Official Methods of Analysis of AOAC International, 18th edn. Gaithersburg, MD, USA, </w:t>
      </w:r>
    </w:p>
    <w:p w14:paraId="5774FEA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Bañuls C, Martínez-Triguero ML, López-Ruiz A, Morillas C, Lacomba R, Víctor VM, Rocha M, Hernández-Mijares A (2010) Evaluation of cardiovascular risk and oxidative stress parameters in hypercholesterolemic subjects on a standard healthy diet including low-fat milk enriched with plant sterols. J Nutr Biochem 21:881–886.</w:t>
      </w:r>
    </w:p>
    <w:p w14:paraId="3E592A6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Baumgartner S, Mensink RP, Husche C, Lütjohann D, Plat J (2013) Effects of plant sterol- or stanol-enriched margarine on fasting plasma oxyphytosterol concentrations in healthy subjects. Atherosclerosis 227:414–419.</w:t>
      </w:r>
    </w:p>
    <w:p w14:paraId="7DBB6E1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Becker M, Staab D, Von Bergmann K (1992) Long-term treatment of severe familial hypercholesterolemia in children: effect of sitosterol and bezafibrate. Pediatrics 89:138–142.</w:t>
      </w:r>
    </w:p>
    <w:p w14:paraId="1A7AE0D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Berger A, Jones PJ, Abumweis SS (2004) Plant sterols: factors affecting their efficacy and safety as functional food ingredients. Lipids Health Dis 3:5.</w:t>
      </w:r>
    </w:p>
    <w:p w14:paraId="771151D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Bruckert E, Masana L, Chapman MJ, Descamps O, Bosi E, Allaert FA (2014) Dietary supplementation contributes to lifestyle improvement in hypercholesterolemic patients in real-life contexts. Curr Med Res Opin 30:1309–1316.</w:t>
      </w:r>
    </w:p>
    <w:p w14:paraId="6E7D2028"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Brufau G, Canela MA, Rafecas M (2008) Phytosterols: physiologic and metabolic aspects related to cholesterol-lowering properties. Nutr Res 28:217–225.</w:t>
      </w:r>
    </w:p>
    <w:p w14:paraId="51479F2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Brufau G, Groen AK, Kuipers F (2011) Reverse cholesterol transport revisited: Contribution of biliary versus intestinal cholesterol excretion. Arterioscler Thromb Vasc Biol 31:1726–1733.</w:t>
      </w:r>
    </w:p>
    <w:p w14:paraId="43B2A345"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Burns J, Fraser PD, Bramley PM (2003) Identification and quantification of carotenoids, tocopherols and chlorophylls in commonly consumed fruits and vegetables. Phytochemistry 62:939–947.</w:t>
      </w:r>
    </w:p>
    <w:p w14:paraId="372E55B3"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Calpe-Berdiel L, Escolà-Gil JC, Blanco-Vaca F (2009) New insights into the molecular actions of plant sterols and stanols in cholesterol metabolism. Atherosclerosis 203:18–31.</w:t>
      </w:r>
    </w:p>
    <w:p w14:paraId="079A8062"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Chan Y-M, Varady K a, Lin Y, Trautwein E, Mensink RP, Plat J, Jones PJH (2006) Plasma Concentrations of Plant Sterols: Physiology and Relationship with Coronary Heart Disease. Nutr Rev 64:385–402.</w:t>
      </w:r>
    </w:p>
    <w:p w14:paraId="4D3BE699"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Clifton PM, Noakes M, Ross D, Fassoulakis A, Cehun M, Nestel P (2004) High dietary intake of phytosterol esters decreases carotenoids and increases plasma plant sterol levels with no additional cholesterol lowering. J Lipid Res 45:1493–1499.</w:t>
      </w:r>
    </w:p>
    <w:p w14:paraId="0E0A61DD"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Dash S, Xiao C, Morgantini C, Lewis GF (2015) New Insights into the Regulation of Chylomicron Production. Annu Rev Nutr 35:265–294.</w:t>
      </w:r>
    </w:p>
    <w:p w14:paraId="3F590C7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Davidson MH, Maki KC, Umporowicz DM, Ingram K a, Dicklin MR, Schaefer E, Lane RW, McNamara JR, Ribaya-Mercado JD, Perrone G, Robins SJ, Franke WC (2001) Safety and Tolerability of Esterified Phytosterols Administered in Reduced-Fat Spread and Salad Dressing to Healthy Adult Men and Women. J Am Coll Nutr 20:307–319.</w:t>
      </w:r>
    </w:p>
    <w:p w14:paraId="563F0485"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de Jongh S, Vissers MN, Rol P, Bakker HD, Kastelein JJP, Stroes ESG (2003) Plant sterols lower LDL cholesterol without improving endothelial function in prepubertal children with familial hypercholesterolaemia. J Inherit Metab Dis 26:343–351.</w:t>
      </w:r>
    </w:p>
    <w:p w14:paraId="54A4037B" w14:textId="77777777" w:rsidR="00724D8F" w:rsidRDefault="00724D8F" w:rsidP="00335CC0">
      <w:pPr>
        <w:autoSpaceDE w:val="0"/>
        <w:autoSpaceDN w:val="0"/>
        <w:adjustRightInd w:val="0"/>
        <w:spacing w:after="240"/>
        <w:rPr>
          <w:rFonts w:cs="Arial"/>
          <w:noProof/>
          <w:sz w:val="20"/>
        </w:rPr>
      </w:pPr>
      <w:r>
        <w:rPr>
          <w:rFonts w:cs="Arial"/>
          <w:noProof/>
          <w:sz w:val="20"/>
        </w:rPr>
        <w:br w:type="page"/>
      </w:r>
    </w:p>
    <w:p w14:paraId="4A9D485E" w14:textId="429120CC" w:rsidR="00335CC0" w:rsidRPr="00335CC0" w:rsidRDefault="00335CC0" w:rsidP="00335CC0">
      <w:pPr>
        <w:autoSpaceDE w:val="0"/>
        <w:autoSpaceDN w:val="0"/>
        <w:adjustRightInd w:val="0"/>
        <w:spacing w:after="240"/>
        <w:rPr>
          <w:rFonts w:cs="Arial"/>
          <w:noProof/>
          <w:sz w:val="20"/>
        </w:rPr>
      </w:pPr>
      <w:r w:rsidRPr="00335CC0">
        <w:rPr>
          <w:rFonts w:cs="Arial"/>
          <w:noProof/>
          <w:sz w:val="20"/>
        </w:rPr>
        <w:lastRenderedPageBreak/>
        <w:t>Demonty I, Ras RT, van der Knaap HCM, Duchateau GSMJE, Meijer L, Zock PL, Geleijnse JM, Trautwein E a (2008) Continuous Dose-Response Relationship of the LDL-Cholesterol-Lowering Effect of Phytosterol Intake. J Nutr 139:271–284.</w:t>
      </w:r>
    </w:p>
    <w:p w14:paraId="0EEE272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DFG (2014) Phytosterol oxidation products in foods: Analysis, occurrence, exposure and biological effects. DFG Senate Commission on Food Safety, Bonn, Germany</w:t>
      </w:r>
    </w:p>
    <w:p w14:paraId="615FBC75"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Dutta PC, Przybylski R, Eskin MNA, Appelqvist LÅ (2007) Formation, Analysis, and Health Effects of Oxidized Sterols in Frying Fat. In: Deep Frying: Chemistry, Nutrition, and Practical Applications: Second Edition. pp 111–164</w:t>
      </w:r>
    </w:p>
    <w:p w14:paraId="30CDB96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EFSA (2007) Opinion of the Scientific Panel on Dietetic products, nutrition and allergies (NDA) related to a notification from Cognis, ADM and Cargill on vegetable oils-derived phytosterols and phytosterol esters from soybean sources pursuant to Article 6 paragraph 1. EFSA J 5:486.</w:t>
      </w:r>
    </w:p>
    <w:p w14:paraId="5F4FA48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Engel R, Schubert H (2005) Formulation of phytosterols in emulsions for increased dose response in functional foods. Innov Food Sci Emerg Technol 6:233–237.</w:t>
      </w:r>
    </w:p>
    <w:p w14:paraId="0D669FCA"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Fardet A, Morise A, Kalonji E, Margaritis I, Mariotti F (2016) Influence of Phytosterol and Phytostanol Food Supplementation on Plasma Liposoluble Vitamins and Provitamin A Carotenoid Levels in Humans: An Updated Review of the Evidence. Crit Rev Food Sci Nutr 10.1080/10408398.2015.1033611.</w:t>
      </w:r>
    </w:p>
    <w:p w14:paraId="350CC15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Ferrari RA, Esteves W, Mukherjee KD, Schulte E (1997) Alteration of Sterols and Steryl Esters in Vegetable Oils during Industrial Refining. J Agric Food Chem 45:4753–4757.</w:t>
      </w:r>
    </w:p>
    <w:p w14:paraId="45618F27"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Ford ES, Schleicher RL, Mokdad AH, Ajani U a, Liu S (2006) Distribution of serum concentrations of alpha-tocopherol and gamma-tocopherol in the US population. Am J Clin Nutr 84:375–383.</w:t>
      </w:r>
    </w:p>
    <w:p w14:paraId="4ABDAAA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Fransen HP, de Jong N, Wolfs M, Verhagen H, Verschuren WMM, Lütjohann D, von Bergmann K, Plat J, Mensink RP (2007) Customary use of plant sterol and plant stanol enriched margarine is associated with changes in serum plant sterol and stanol concentrations in humans. J Nutr 137:1301–1306.</w:t>
      </w:r>
    </w:p>
    <w:p w14:paraId="6947A5B2"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FSANZ (2005) First Review Report: Application A433 - Phytosterol esters derived from vegetable oils in breakfast cereals; Application A434 - Phytosterol esters derived from vegetable oils in low-fat milk &amp; yoghurt; Application A508 - Phytosterols derived from tall oil. FSANZ, Canberra, Canberra</w:t>
      </w:r>
    </w:p>
    <w:p w14:paraId="7CAC9B3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FSANZ (2010a) Supporting document 1 - Risk Assessment Report. Application A1024 - Equivalence of Plant Stanols, Sterols &amp; their Fatty Acids Esters. Canberra</w:t>
      </w:r>
    </w:p>
    <w:p w14:paraId="04CC83DA"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FSANZ (2012a) Approval Report – Application A1070. Packaging Size for Phytosterol-enriched Lower Fat Cheese. Canberra</w:t>
      </w:r>
    </w:p>
    <w:p w14:paraId="34EAEC15"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FSANZ (2010b) Supporting document 1 - Risk assessment report. Application A1019 - Phytosterol esters in low fat cheese. Canberra</w:t>
      </w:r>
    </w:p>
    <w:p w14:paraId="336FA9B6"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FSANZ (2012b) Supporting document 1 - Risk assessment report. Application A1065 - Packaging Size for Phytosterol-enriched Milk. Canberra</w:t>
      </w:r>
    </w:p>
    <w:p w14:paraId="5DCE7AEA"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FSANZ (2006) Second Review Report: Application A433 - Phytosterol esters derived from vegetable oils in breakfast cereals; Application A434 - Phytosterol esters derived from vegetable oils in low-fat milk &amp; yoghurt; Application A508 - Phytosterols derived from tall oi. FSANZ, Canberra, Canberra</w:t>
      </w:r>
    </w:p>
    <w:p w14:paraId="554E4E01"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Garoufi A, Vorre S, Soldatou A, Tsentidis C, Kossiva L, Drakatos A, Marmarinos A, Gourgiotis D (2014) Plant sterols–enriched diet decreases small, dense LDL-cholesterol levels in children with hypercholesterolemia: a prospective study. Ital J Pediatr 40:42.</w:t>
      </w:r>
    </w:p>
    <w:p w14:paraId="381364E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Genser B, Silbernagel G, De Backer G, Bruckert E, Carmena R, Chapman MJ, Deanfield J, Descamps OS, Rietzschel ER, Dias KC, Marz W (2012) Plant sterols and cardiovascular disease: a systematic review and meta-analysis. Eur Heart J 33:444–451.</w:t>
      </w:r>
    </w:p>
    <w:p w14:paraId="5B124137"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lastRenderedPageBreak/>
        <w:t>Gleize B, Nowicki M, Daval C, Koutnikova H, Borel P (2016) Form of phytosterols and food matrix in which they are incorporated modulate their incorporation into mixed micelles and impact cholesterol micellarization. Mol Nutr Food Res 60:749–759.</w:t>
      </w:r>
    </w:p>
    <w:p w14:paraId="665CB245"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Guardamagna O, Abello F, Baracco V, Federici G, Bertucci P, Mozzi A, Mannucci L, Gnasso A, Cortese C (2011) Primary hyperlipidemias in children: effect of plant sterol supplementation on plasma lipids and markers of cholesterol synthesis and absorption. Acta Diabetol 48:127–133.</w:t>
      </w:r>
    </w:p>
    <w:p w14:paraId="0D2FF25D"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Gylling H, Hallikainen M, Nissinen MJ, Miettinen TA (2010) The effect of a very high daily plant stanol ester intake on serum lipids, carotenoids, and fat-soluble vitamins. Clin Nutr 29:112–118.</w:t>
      </w:r>
    </w:p>
    <w:p w14:paraId="03717F7A"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Gylling H, Siimes M a, Miettinen T a (1995) Sitostanol ester margarine in dietary treatment of children with familial hypercholesterolemia. J Lipid Res 36:1807–12.</w:t>
      </w:r>
    </w:p>
    <w:p w14:paraId="34342CC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Harrison EH (2012) Mechanisms involved in the intestinal absorption of dietary vitamin A and provitamin A carotenoids. Biochim Biophys Acta - Mol Cell Biol Lipids 1821:70–77.</w:t>
      </w:r>
    </w:p>
    <w:p w14:paraId="50A7D199"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Hendriks HFJ, Brink EJ, Meijer GW, Princen HMG, Ntanios FY (2003) Safety of long-term consumption of plant sterol esters-enriched spread. Eur J Clin Nutr 57:681–692.</w:t>
      </w:r>
    </w:p>
    <w:p w14:paraId="5120B099"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Ikeda I, Tanabe Y, Sugano M (1989) Effects of sitosterol and sitostanol on micellar solubility of cholesterol. J Nutr Sci Vitaminol (Tokyo) 35:361–369.</w:t>
      </w:r>
    </w:p>
    <w:p w14:paraId="6E23CB8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Institute of Medicine (U.S.) (2001) Dietary Reference Intakes for Vitamin A, Vitamin K, Arsenic, Boron, Chromium, Copper, Iodine, Iron, Manganese, Molybdenum, Nickel, Silicon, Vanadium, and Zinc. National Academies Press, Washington, D.C.</w:t>
      </w:r>
    </w:p>
    <w:p w14:paraId="6E42D93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Ishizaki T, Wakabayashi M, Tanimoto H, Shima A, Yabune M, Kajimoto O, Itakura H (2003) Effects of Long-Term Intake of Mayonnaise Containing Phytosterolester on Blood Cholesterol Concentration in Japanese with Borderline or Mild Cholesterolemia. J Clin Biochem Nutr 33:75–82.</w:t>
      </w:r>
    </w:p>
    <w:p w14:paraId="1595275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Jakulj L, Vissers MN, Rodenburg J, Wiegman A, Trip MD, Kastelein JJP (2006) Plant stanols do not restore endothelial function in pre-pubertal children with familial hypercholesterolemia despite reduction of low-density lipoprotein cholesterol levels. J Pediatr 148:495–500.</w:t>
      </w:r>
    </w:p>
    <w:p w14:paraId="16142721"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JECFA (2008) Combined Compendium of Food Additive Specifications. Rome, Italy</w:t>
      </w:r>
    </w:p>
    <w:p w14:paraId="1E2DD8A2"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Johnsson L, Dutta PC (2006) Determination of phytosterol oxides in some food products by using an optimized transesterification method. Food Chem 97:606–613.</w:t>
      </w:r>
    </w:p>
    <w:p w14:paraId="5FDC88C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Kaffe E, Salakidou C, Menounou I, Challa A, Moulas AN (2012) Effect of plant sterols on vitamin D absorption. In: Larissa AM (ed) 15th International Meeting on Fat Soluble Vitamins. Annals of Nutrition and Metabolism, 60(2), Kalabaka, Greece, p 138</w:t>
      </w:r>
    </w:p>
    <w:p w14:paraId="2A792B6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Katan MB, Grundy SM, Jones P, Law M, Miettinen T, Paoletti R (2003) Efficacy and Safety of Plant Stanols and Sterols in the Management of Blood Cholesterol Levels. Mayo Clin Proc 78:965–978.</w:t>
      </w:r>
    </w:p>
    <w:p w14:paraId="05826C08"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Kono N, Arai H (2015) Intracellular Transport of Fat-Soluble Vitamins A and E. Traffic 16:19–34.</w:t>
      </w:r>
    </w:p>
    <w:p w14:paraId="77771411"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Korpela R, Tuomilehto J, Högström P, Seppo L, Piironen V, Salo-Väänänen P, Toivo J, Lamberg-Allardt C, Kärkkäinen M, Outila T, Sundvall J, Vilkkilä S, Tikkanen MJ (2006) Safety aspects and cholesterol-lowering efficacy of low fat dairy products containing plant sterols. Eur J Clin Nutr 60:633–642.</w:t>
      </w:r>
    </w:p>
    <w:p w14:paraId="2E49D3FA"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Kurokawa M, Masuda Y, Noda M, Marushima R, Usuda M, Takeda S, Hasegawa M, Homma Y, Sugano M (2008) Minimal Effective Dose on Serum Cholesterol Concentration and the Safety Evaluation of Dressing Containing Plant Sterol in Japanese Subjects. J Oleo Sci 57:23–33.</w:t>
      </w:r>
    </w:p>
    <w:p w14:paraId="6155E4C7"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Laakso P (2005) Analysis of sterols from various food matrices. Eur J Lipid Sci Technol 107:402–410.</w:t>
      </w:r>
    </w:p>
    <w:p w14:paraId="373680A8"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lastRenderedPageBreak/>
        <w:t>Laitinen K, Isolauri E, Kaipiainen L, Gylling H, Miettinen TA (2009) Plant stanol ester spreads as components of a balanced diet for pregnant and breast-feeding women: evaluation of clinical safety. Br J Nutr 101:1797.</w:t>
      </w:r>
    </w:p>
    <w:p w14:paraId="40F2891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Lau VWY, Journoud M, Jones PJH (2005) Plant sterols are efficacious in lowering plasma LDL and non-HDL cholesterol in hypercholesterolemic type 2 diabetic and nondiabetic persons. In: American Journal of Clinical Nutrition. pp 1351–1358</w:t>
      </w:r>
    </w:p>
    <w:p w14:paraId="338326C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Leal-Castañeda EJ, Inchingolo R, Cardenia V, Hernandez-Becerra JA, Romani S, Rodriguez-Estrada MT, Galindo HSG (2015) Effect of Microwave Heating on Phytosterol Oxidation. J Agric Food Chem 63:5539–5547.</w:t>
      </w:r>
    </w:p>
    <w:p w14:paraId="49747DA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Mannarino MR, Ministrini S, Pirro M (2014) Nutraceuticals for the treatment of hypercholesterolemia. Eur J Intern Med 25:592–599.</w:t>
      </w:r>
    </w:p>
    <w:p w14:paraId="15067C0B"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Mardones P, Rigotti A (2004) Cellular mechanisms of vitamin E uptake: relevance in α-tocopherol metabolism and potential implications for disease. J Nutr Biochem 15:252–260.</w:t>
      </w:r>
    </w:p>
    <w:p w14:paraId="34D160D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Masson CJ, Plat J, Mensink RP, Namiot A, Kisielewski W, Namiot Z, Füllekrug J, Ehehalt R, Glatz JFC, Pelsers MMAL (2010) Fatty acid- and cholesterol transporter protein expression along the human intestinal tract. PLoS One. doi: 10.1371/journal.pone.0010380</w:t>
      </w:r>
    </w:p>
    <w:p w14:paraId="5F7C6CA5"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Matsuyama T, Shoji K, Takase H, Kamimaki I, Tanaka Y, Otsuka A, Watanabe H, Hase T, Tokimitsu I (2007) Effects of phytosterols in diacylglycerol as part of diet therapy on hyperlipidemia in children. Asia Pac J Clin Nutr 16:40–48.</w:t>
      </w:r>
    </w:p>
    <w:p w14:paraId="4360E8A8"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Matvienko OA, Lewis DS, Swanson M, Arndt B, Rainwater DL, Stewart J, Lee Alekel D (2002) A single daily dose of soybean phytosterols in ground beef decreases serum total cholesterol and LDL cholesterol in young, mildly hypercholesterolemic men. Am J Clin Nutr 76:57–64.</w:t>
      </w:r>
    </w:p>
    <w:p w14:paraId="77CA526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McPherson TB, Ostlund RE, Goldberg AC, Bateman JH, Schimmoeller L, Spilburg CA (2005) Phytostanol tablets reduce human LDL-cholesterol. J Pharm Pharmacol 57:889–896.</w:t>
      </w:r>
    </w:p>
    <w:p w14:paraId="27C7AC9B"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Mel’nikov SM, Seijen ten Hoorn JW., Bertrand B (2004) Can cholesterol absorption be reduced by phytosterols and phytostanols via a cocrystallization mechanism? Chem Phys Lipids 127:15–33.</w:t>
      </w:r>
    </w:p>
    <w:p w14:paraId="32358DE7"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Mellies MJ, Ishikawa TT, Gartside P, Burton K, MacGee J, Allen K, Steiner PM, Brady D, Glueck CJ (1978) Effects of varying maternal dietary cholesterol and phytosterol in lactating women and their infants. Am J Clin Nutr 31:1347–54.</w:t>
      </w:r>
    </w:p>
    <w:p w14:paraId="4B91975B"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Menéndez-Carreño M, Ansorena D, Astiasarán I (2008) Stability of Sterols in Phytosterol-Enriched Milk under Different Heating Conditions. J Agric Food Chem 56:9997–10002.</w:t>
      </w:r>
    </w:p>
    <w:p w14:paraId="2B685FF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Mensink RP, De Jong A, Lütjohann D, Haenen GRMM, Plat J (2010) Plant stanols dose-dependently decrease LDL-cholesterol concentrations, but not cholesterol-standardized fat-soluble antioxidant concentrations, at intakes up to 9 g/d. Am J Clin Nutr 92:24–33.</w:t>
      </w:r>
    </w:p>
    <w:p w14:paraId="5E375642"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Mensink RP, Ebbing S, Lindhout M, Plat J, van Heugten MM. (2002) Effects of plant stanol esters supplied in low-fat yoghurt on serum lipids and lipoproteins, non-cholesterol sterols and fat soluble antioxidant concentrations. Atherosclerosis 160:205–213.</w:t>
      </w:r>
    </w:p>
    <w:p w14:paraId="0BF50AA8"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Ministry of Health (2003) NZ Food NZ Children: Key results of the 2002 National Children’s Nutrition Survey. Ministry of Health, Wellington</w:t>
      </w:r>
    </w:p>
    <w:p w14:paraId="52A678F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Ministry of Health (2005) 2002 National Children’s Nutrition Survey: National Confidentialised Unit Record File (CURF) User Document. Ministry of Health, Wellington</w:t>
      </w:r>
    </w:p>
    <w:p w14:paraId="577C7752"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Ministry of Health (2011) Methodology report for the 2008/09 New Zealand Adult Nutrition Survey. Ministry of Health, Wellington</w:t>
      </w:r>
    </w:p>
    <w:p w14:paraId="5CFA76D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lastRenderedPageBreak/>
        <w:t>Moghadasian MH, Frohlich JJ (1999) Effects of dietary phytosterols on cholesterol metabolism and atherosclerosis: clinical and experimental evidence. Am J Med 107:588–594.</w:t>
      </w:r>
    </w:p>
    <w:p w14:paraId="0FAD8E6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Moreau RA, Whitaker BD, Hicks KB (2002) Phytosterols, phytostanols, and their conjugates in foods: structural diversity, quantitative analysis, and health-promoting uses. Prog Lipid Res 41:457–500.</w:t>
      </w:r>
    </w:p>
    <w:p w14:paraId="103C50F9"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Musa-Veloso K, Poon TH, Elliot JA, Chung C (2011) A comparison of the LDL-cholesterol lowering efficacy of plant stanols and plant sterols over a continuous dose range: Results of a meta-analysis of randomized, placebo-controlled trials. Prostaglandins, Leukot Essent Fat Acids 85:9–28.</w:t>
      </w:r>
    </w:p>
    <w:p w14:paraId="74FB0E3C"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Niittynen LH, Jauhiainen TA, Poussa TA, Korpela &gt;Riitta (2008) Effects of yoghurt enriched with free plant sterols on the levels of serum lipids and plant sterols in moderately hypercholesterolaemic subjects on a high-fat diet. Int J Food Sci Nutr 59:357–367.</w:t>
      </w:r>
    </w:p>
    <w:p w14:paraId="5E5E1353"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Petrogianni M, Kanellakis S, Moschonis G, Manios Y (2014) Fortification of vitamin A in a phytosterol enriched milk maintains plasma beta-carotene levels. J Food Sci Technol 51:196–199.</w:t>
      </w:r>
    </w:p>
    <w:p w14:paraId="5A1836D6"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Piironen V, Lindsay DG, Miettinen TA, Toivo J, Lampi AM (2000) Plant sterols: Biosynthesis, biological function and their importance to human nutrition. J. Sci. Food Agric. 80:939–966.</w:t>
      </w:r>
    </w:p>
    <w:p w14:paraId="6DFC87DB"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Plat J, Mensink RP (2000) Vegetable oil based versus wood based stanol ester mixtures: effects on serum lipids and hemostatic factors in non-hypercholesterolemic subjects. Atherosclerosis 148:101–112.</w:t>
      </w:r>
    </w:p>
    <w:p w14:paraId="0BF4CDC7"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Plat J, van Onselen ENM, van Heugten MMA, Mensink RP (2000) Effects on serum lipids, lipoproteins and fat soluble antioxidant concentrations of consumption frequency of margarines and shortenings enriched with plant stanol esters. Eur J Clin Nutr 54:671–677.</w:t>
      </w:r>
    </w:p>
    <w:p w14:paraId="4987107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Racette SB, Lin X, Lefevre M, Spearie CA, Most MM, Ma L, Ostlund RE (2010) Dose effects of dietary phytosterols on cholesterol metabolism: a controlled feeding study. Am J Clin Nutr 91:32–38.</w:t>
      </w:r>
    </w:p>
    <w:p w14:paraId="5D8EFEB7"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Repa JJ, Berge KE, Pomajzl C, Richardson JA, Hobbs H, Mangelsdorf DJ (2002) Regulation of ATP-binding cassette sterol transporters ABCG5 and ABCG8 by the liver X receptors ?? and ?? J Biol Chem 277:18793–18800.</w:t>
      </w:r>
    </w:p>
    <w:p w14:paraId="51CEA4B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Richelle M, Enslen M, Hager C, Groux M, Tavazzi I, Godin JP, Berger A, Métairon S, Quaile S, Piguet-Welsch C, Sagalowicz L, Green H, Fay LB (2004) Both free and esterified plant sterols reduce cholesterol absorption and the bioavailability of β-carotene and α-tocopherol in normocholesterolemic humans. Am J Clin Nutr 80:171–177.</w:t>
      </w:r>
    </w:p>
    <w:p w14:paraId="7F930D4C"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Saito S, Takeshita M, Tomonobu K, Kudo N, Shiiba D, Hase T, Tokimitsu I, Yasukawa T (2006) Dose-dependent cholesterol-lowering effect of a mayonnaise-type product with a main component of diacylglycerol-containing plant sterol esters. Nutrition 22:174–178.</w:t>
      </w:r>
    </w:p>
    <w:p w14:paraId="47721B9D"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Sanchez-Muniz FJ, Maki KC, Schaefer EJ, Ordovas JM (2009) Serum Lipid and Antioxidant Responses in Hypercholesterolemic Men and Women Receiving Plant Sterol Esters Vary by. J Nutr 139:17–23.</w:t>
      </w:r>
    </w:p>
    <w:p w14:paraId="7F9A2B6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Sanclemente T, Marques-Lopes I, Puzo J, García-Otín AL (2009) Role of naturally-occurring plant sterols on intestinal cholesterol absorption and plasmatic levels. J Physiol Biochem 65:87–98.</w:t>
      </w:r>
    </w:p>
    <w:p w14:paraId="587EFDC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Scholz B, Guth S, Engel K-H, Steinberg P (2015) Phytosterol oxidation products in enriched foods: Occurrence, exposure, and biological effects. Mol Nutr Food Res 59:1339–1352.</w:t>
      </w:r>
    </w:p>
    <w:p w14:paraId="1ADBB25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Schurgers LJ, Vermeer C (2002) Differential lipoprotein transport pathways of K-vitamins in healthy subjects. Biochim Biophys Acta - Gen Subj 1570:27–32.</w:t>
      </w:r>
    </w:p>
    <w:p w14:paraId="79545ECE"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Sehayek E (2003) Genetic regulation of cholesterol absorption and plasma plant sterol levels: commonalities and differences. J Lipid Res 44:2030–2038.</w:t>
      </w:r>
    </w:p>
    <w:p w14:paraId="34C60A6F"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lastRenderedPageBreak/>
        <w:t>Seki S, Hidaka I, Kojima K, Yoshino H, Aoyama T, Okazaki M, Kondo K (2003) Effects of phytosterol ester-enriched vegetable oil on plasma lipoproteins in healthy men. Asia Pac J Clin Nutr 12:282–291.</w:t>
      </w:r>
    </w:p>
    <w:p w14:paraId="2C8B1912"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Sialvera T-E, Koutelidakis AE, Richter DJ, Yfanti G, Kapsokefalou M, Micha R, Goumas G, Diamantopoulos E, Zampelas A (2013) Phytosterol supplementation does not affect plasma antioxidant capacity in patients with metabolic syndrome. Int J Food Sci Nutr 64:21–27.</w:t>
      </w:r>
    </w:p>
    <w:p w14:paraId="6F4D8BB9"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Silbernagel G, Baumgartner I, März W (2015) Cardiovascular Safety of Plant Sterol and Stanol Consumption. J AOAC Int 98:739–741.</w:t>
      </w:r>
    </w:p>
    <w:p w14:paraId="0CF61D4A"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Söderholm PP, Alfthan G, Koskela AH, Adlercreutz H, Tikkanen MJ (2012) The effect of high-fiber rye bread enriched with nonesterified plant sterols on major serum lipids and apolipoproteins in normocholesterolemic individuals. Nutr Metab Cardiovasc Dis 22:575–582.</w:t>
      </w:r>
    </w:p>
    <w:p w14:paraId="58CE54B5"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Srigley CT, Haile EA (2015) Quantification of plant sterols/stanols in foods and dietary supplements containing added phytosterols. J Food Compos Anal 40:163–176.</w:t>
      </w:r>
    </w:p>
    <w:p w14:paraId="7E947FC3"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Stoltzfus RJ, Underwood BA (1995) Breast-milk vitamin A as an indicator of the vitamin A status of women and infants. Bull. World Health Organ. 73:703–711.</w:t>
      </w:r>
    </w:p>
    <w:p w14:paraId="21F65E2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Tammi A, Rönnemaa T, Valsta L, Seppänen R, Rask-Nissilä L, Miettinen TA, Gylling H, Viikari J, Anttolainen M, Simell O (2001) Dietary plant sterols alter the serum plant sterol concentration but not the cholesterol precursor sterol concentrations in young children (the STRIP Study). J Nutr 131:1942–5.</w:t>
      </w:r>
    </w:p>
    <w:p w14:paraId="0386602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Trautwein E a., Duchateau GSMJE, Lin Y, Mel’nikov SM, Molhuizen HOF, Ntanios FY (2003) Proposed mechanisms of cholesterol-lowering action of plant sterols. Eur J Lipid Sci Technol 105:171–185.</w:t>
      </w:r>
    </w:p>
    <w:p w14:paraId="55226552"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Tuomilehto J, Tikkanen MJ, Högström P, Keinänen-Kiukaanniemi S, Piironen V, Toivo J, Salonen JT, Nyyssönen K, Stenman U-H, Alfthan H, Karppanen H (2009) Safety assessment of common foods enriched with natural nonesterified plant sterols. Eur J Clin Nutr 63:684–691.</w:t>
      </w:r>
    </w:p>
    <w:p w14:paraId="2395CF63"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University of Otago, NZ Ministry of Health (2011) A focus on nutrition: key findings of the 2008/09 New Zealand Adult Nutrition Survey. Ministry of Health Wellington, New Zealand</w:t>
      </w:r>
    </w:p>
    <w:p w14:paraId="4541BF37"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Van Der Wulp MYM, Verkade HJ, Groen AK (2013) Regulation of cholesterol homeostasis. Mol. Cell. Endocrinol. 368:1–16.</w:t>
      </w:r>
    </w:p>
    <w:p w14:paraId="065167F1"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Vanhanen HT, Kajander J, Lehtovirta H, Miettinen TA (1994) Serum Levels, Absorption Efficiency, Faecal Elimination and Synthesis of Cholesterol during Increasing Doses of Dietary Sitostanol Esters in Hypercholesterolaemic Subjects. Clin Sci 87:61–67.</w:t>
      </w:r>
    </w:p>
    <w:p w14:paraId="7C0D3C8C"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Weber D, Grune T (2012) The contribution of β-carotene to vitamin A supply of humans. Mol Nutr Food Res 56:251–258.</w:t>
      </w:r>
    </w:p>
    <w:p w14:paraId="22D8C950"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Weingärtner O, Baber R, Teupser D (2014) Plant sterols in food: No consensus in guidelines. Biochem Biophys Res Commun 446:811–813.</w:t>
      </w:r>
    </w:p>
    <w:p w14:paraId="71AFBEAD"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Weingärtner O, Teupser D, Patel SB (2015) The Atherogenicity of Plant Sterols: The Evidence from Genetics to Clinical Trials. J AOAC Int 98:742–9.</w:t>
      </w:r>
    </w:p>
    <w:p w14:paraId="7E32F106"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Windler E, Zyriax B-C, Kuipers F, Linseisen J, Boeing H (2009) Association of plasma phytosterol concentrations with incident coronary heart disease. Atherosclerosis 203:284–290.</w:t>
      </w:r>
    </w:p>
    <w:p w14:paraId="03556EE4" w14:textId="77777777" w:rsidR="00335CC0" w:rsidRPr="00335CC0" w:rsidRDefault="00335CC0" w:rsidP="00335CC0">
      <w:pPr>
        <w:autoSpaceDE w:val="0"/>
        <w:autoSpaceDN w:val="0"/>
        <w:adjustRightInd w:val="0"/>
        <w:spacing w:after="240"/>
        <w:rPr>
          <w:rFonts w:cs="Arial"/>
          <w:noProof/>
          <w:sz w:val="20"/>
        </w:rPr>
      </w:pPr>
      <w:r w:rsidRPr="00335CC0">
        <w:rPr>
          <w:rFonts w:cs="Arial"/>
          <w:noProof/>
          <w:sz w:val="20"/>
        </w:rPr>
        <w:t>Yanishlieva-Maslarova N, Marinova E (1985) Autoxidation of sitosterol in lipid systems of different unsaturation degree. In: 76th AOCS Annual Meeting. Journal of the American Oil Chemists’ Society, Philadelphia, PA, p 622</w:t>
      </w:r>
    </w:p>
    <w:p w14:paraId="0E5B8B62" w14:textId="5875C713" w:rsidR="0051780C" w:rsidRPr="00547FB5" w:rsidRDefault="0051780C" w:rsidP="00335CC0">
      <w:pPr>
        <w:autoSpaceDE w:val="0"/>
        <w:autoSpaceDN w:val="0"/>
        <w:adjustRightInd w:val="0"/>
        <w:spacing w:after="240"/>
        <w:rPr>
          <w:rFonts w:cs="Arial"/>
          <w:noProof/>
          <w:lang w:val="en-GB"/>
        </w:rPr>
      </w:pPr>
      <w:r w:rsidRPr="00547FB5">
        <w:rPr>
          <w:lang w:val="en-GB"/>
        </w:rPr>
        <w:fldChar w:fldCharType="end"/>
      </w:r>
      <w:r w:rsidRPr="00E7460C">
        <w:rPr>
          <w:b/>
          <w:bCs/>
          <w:sz w:val="36"/>
          <w:szCs w:val="28"/>
          <w:lang w:val="en-GB"/>
        </w:rPr>
        <w:fldChar w:fldCharType="begin"/>
      </w:r>
      <w:r w:rsidRPr="00547FB5">
        <w:rPr>
          <w:lang w:val="en-GB"/>
        </w:rPr>
        <w:instrText xml:space="preserve"> ADDIN REFMGR.REFLIST </w:instrText>
      </w:r>
      <w:r w:rsidRPr="00E7460C">
        <w:rPr>
          <w:b/>
          <w:bCs/>
          <w:sz w:val="36"/>
          <w:szCs w:val="28"/>
          <w:lang w:val="en-GB"/>
        </w:rPr>
        <w:fldChar w:fldCharType="separate"/>
      </w:r>
      <w:r w:rsidRPr="00547FB5">
        <w:rPr>
          <w:rFonts w:cs="Arial"/>
          <w:noProof/>
          <w:lang w:val="en-GB"/>
        </w:rPr>
        <w:br w:type="page"/>
      </w:r>
    </w:p>
    <w:p w14:paraId="68FED45D" w14:textId="066C53E8" w:rsidR="0051780C" w:rsidRPr="00552334" w:rsidRDefault="0051780C" w:rsidP="00B14D36">
      <w:pPr>
        <w:pStyle w:val="Heading2"/>
        <w:rPr>
          <w:lang w:eastAsia="en-AU"/>
        </w:rPr>
      </w:pPr>
      <w:r w:rsidRPr="00E7460C">
        <w:rPr>
          <w:lang w:eastAsia="en-AU"/>
        </w:rPr>
        <w:lastRenderedPageBreak/>
        <w:fldChar w:fldCharType="end"/>
      </w:r>
      <w:bookmarkStart w:id="414" w:name="_Ref406592480"/>
      <w:bookmarkStart w:id="415" w:name="_Ref420934813"/>
      <w:bookmarkStart w:id="416" w:name="_Toc434566816"/>
      <w:bookmarkStart w:id="417" w:name="_Toc463507657"/>
      <w:bookmarkStart w:id="418" w:name="_Toc463881798"/>
      <w:bookmarkStart w:id="419" w:name="_Toc464569653"/>
      <w:bookmarkStart w:id="420" w:name="_Toc466903409"/>
      <w:bookmarkStart w:id="421" w:name="_Toc466909074"/>
      <w:bookmarkStart w:id="422" w:name="_Toc466986190"/>
      <w:bookmarkStart w:id="423" w:name="_Toc466986243"/>
      <w:bookmarkStart w:id="424" w:name="_Toc467052908"/>
      <w:bookmarkStart w:id="425" w:name="_Toc467064061"/>
      <w:bookmarkStart w:id="426" w:name="_Toc467064508"/>
      <w:bookmarkStart w:id="427" w:name="_Toc467077515"/>
      <w:bookmarkStart w:id="428" w:name="_Toc477274241"/>
      <w:bookmarkStart w:id="429" w:name="_Toc269201853"/>
      <w:bookmarkStart w:id="430" w:name="_Toc360028637"/>
      <w:bookmarkStart w:id="431" w:name="_Ref406587862"/>
      <w:r w:rsidRPr="00552334">
        <w:rPr>
          <w:lang w:eastAsia="en-AU"/>
        </w:rPr>
        <w:t xml:space="preserve">Appendix </w:t>
      </w:r>
      <w:r w:rsidRPr="00E10D8F">
        <w:rPr>
          <w:lang w:eastAsia="en-AU"/>
        </w:rPr>
        <w:fldChar w:fldCharType="begin"/>
      </w:r>
      <w:r w:rsidRPr="00552334">
        <w:rPr>
          <w:lang w:eastAsia="en-AU"/>
        </w:rPr>
        <w:instrText xml:space="preserve"> SEQ Appendix \* ARABIC </w:instrText>
      </w:r>
      <w:r w:rsidRPr="00E10D8F">
        <w:rPr>
          <w:lang w:eastAsia="en-AU"/>
        </w:rPr>
        <w:fldChar w:fldCharType="separate"/>
      </w:r>
      <w:r w:rsidR="007A55E8">
        <w:rPr>
          <w:noProof/>
          <w:lang w:eastAsia="en-AU"/>
        </w:rPr>
        <w:t>1</w:t>
      </w:r>
      <w:r w:rsidRPr="00E10D8F">
        <w:rPr>
          <w:lang w:eastAsia="en-AU"/>
        </w:rPr>
        <w:fldChar w:fldCharType="end"/>
      </w:r>
      <w:bookmarkEnd w:id="414"/>
      <w:r w:rsidRPr="00552334">
        <w:rPr>
          <w:lang w:eastAsia="en-AU"/>
        </w:rPr>
        <w:t xml:space="preserve">: Dietary </w:t>
      </w:r>
      <w:r>
        <w:rPr>
          <w:lang w:eastAsia="en-AU"/>
        </w:rPr>
        <w:t>e</w:t>
      </w:r>
      <w:r w:rsidRPr="00552334">
        <w:rPr>
          <w:lang w:eastAsia="en-AU"/>
        </w:rPr>
        <w:t xml:space="preserve">xposure </w:t>
      </w:r>
      <w:r>
        <w:rPr>
          <w:lang w:eastAsia="en-AU"/>
        </w:rPr>
        <w:t>a</w:t>
      </w:r>
      <w:r w:rsidRPr="00552334">
        <w:rPr>
          <w:lang w:eastAsia="en-AU"/>
        </w:rPr>
        <w:t>ssessments at FSANZ</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bookmarkEnd w:id="429"/>
    <w:bookmarkEnd w:id="430"/>
    <w:bookmarkEnd w:id="431"/>
    <w:p w14:paraId="2F732096" w14:textId="6BD1B817" w:rsidR="0051780C" w:rsidRPr="00E10D8F" w:rsidRDefault="0051780C" w:rsidP="0051780C">
      <w:pPr>
        <w:rPr>
          <w:b/>
          <w:bCs/>
          <w:i/>
          <w:iCs/>
          <w:lang w:val="en-GB"/>
        </w:rPr>
      </w:pPr>
      <w:r w:rsidRPr="00552334">
        <w:rPr>
          <w:lang w:val="en-GB"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bookmarkStart w:id="432" w:name="_Toc434566817"/>
    </w:p>
    <w:p w14:paraId="6EB5F0E2" w14:textId="77777777" w:rsidR="0051780C" w:rsidRPr="00552334" w:rsidRDefault="0051780C" w:rsidP="00B14D36">
      <w:pPr>
        <w:pStyle w:val="Heading3"/>
      </w:pPr>
      <w:bookmarkStart w:id="433" w:name="_Toc477274242"/>
      <w:r w:rsidRPr="00552334">
        <w:t xml:space="preserve">Dietary </w:t>
      </w:r>
      <w:r w:rsidRPr="00F0687E">
        <w:t>exposure</w:t>
      </w:r>
      <w:r w:rsidRPr="00552334">
        <w:t xml:space="preserve"> = food chemical concentration x food consumption</w:t>
      </w:r>
      <w:bookmarkEnd w:id="432"/>
      <w:bookmarkEnd w:id="433"/>
    </w:p>
    <w:p w14:paraId="54E6F880" w14:textId="77777777" w:rsidR="0051780C" w:rsidRPr="00552334" w:rsidRDefault="0051780C" w:rsidP="0051780C">
      <w:pPr>
        <w:rPr>
          <w:lang w:val="en-GB" w:eastAsia="en-GB"/>
        </w:rPr>
      </w:pPr>
      <w:r w:rsidRPr="00552334">
        <w:rPr>
          <w:lang w:val="en-GB" w:eastAsia="en-GB"/>
        </w:rPr>
        <w:t xml:space="preserve">FSANZ’s approach to dietary modelling is based on internationally accepted procedures for estimating dietary exposure to food chemicals </w:t>
      </w:r>
      <w:r w:rsidRPr="00E10D8F">
        <w:rPr>
          <w:lang w:val="en-GB" w:eastAsia="en-GB"/>
        </w:rPr>
        <w:fldChar w:fldCharType="begin"/>
      </w:r>
      <w:r w:rsidRPr="00552334">
        <w:rPr>
          <w:lang w:val="en-GB" w:eastAsia="en-GB"/>
        </w:rPr>
        <w:instrText xml:space="preserve"> ADDIN REFMGR.CITE &lt;Refman&gt;&lt;Cite&gt;&lt;Author&gt;FSANZ&lt;/Author&gt;&lt;Year&gt;2009&lt;/Year&gt;&lt;RecNum&gt;13&lt;/RecNum&gt;&lt;IDText&gt;Principles and practices of dietary exposure asessment for food regulatory purposes&lt;/IDText&gt;&lt;MDL Ref_Type="Report"&gt;&lt;Ref_Type&gt;Report&lt;/Ref_Type&gt;&lt;Ref_ID&gt;13&lt;/Ref_ID&gt;&lt;Title_Primary&gt;Principles and practices of dietary exposure asessment for food regulatory purposes&lt;/Title_Primary&gt;&lt;Authors_Primary&gt;FSANZ&lt;/Authors_Primary&gt;&lt;Date_Primary&gt;2009&lt;/Date_Primary&gt;&lt;Keywords&gt;phytosterols&lt;/Keywords&gt;&lt;Reprint&gt;Not in File&lt;/Reprint&gt;&lt;Pub_Place&gt;Canberra&lt;/Pub_Place&gt;&lt;Publisher&gt;Report prepared by Food Standards Australia New Zealand&lt;/Publisher&gt;&lt;Web_URL&gt;&lt;u&gt;http://www.foodstandards.gov.au/publications/Pages/Principles-and-Practices-of-Dietary.aspx&lt;/u&gt;&lt;/Web_URL&gt;&lt;ZZ_WorkformID&gt;24&lt;/ZZ_WorkformID&gt;&lt;/MDL&gt;&lt;/Cite&gt;&lt;/Refman&gt;</w:instrText>
      </w:r>
      <w:r w:rsidRPr="00E10D8F">
        <w:rPr>
          <w:lang w:val="en-GB" w:eastAsia="en-GB"/>
        </w:rPr>
        <w:fldChar w:fldCharType="separate"/>
      </w:r>
      <w:r w:rsidRPr="00E10D8F">
        <w:rPr>
          <w:noProof/>
          <w:lang w:val="en-GB" w:eastAsia="en-GB"/>
        </w:rPr>
        <w:t>(FSANZ 2009)</w:t>
      </w:r>
      <w:r w:rsidRPr="00E10D8F">
        <w:rPr>
          <w:lang w:val="en-GB" w:eastAsia="en-GB"/>
        </w:rPr>
        <w:fldChar w:fldCharType="end"/>
      </w:r>
      <w:r w:rsidRPr="00552334">
        <w:rPr>
          <w:lang w:val="en-GB" w:eastAsia="en-GB"/>
        </w:rPr>
        <w:t>. Different dietary modelling approaches may be used depending on the assessment, the type of food chemical, the data available and the risk assessment questions to be answered. In the majority of assessments FSANZ uses the food consumption data from each person in the NNSs to estimate their individual dietary exposure. Population summary statistics such as the mean exposure or a high percentile exposure are derived from the ranked individual person’s exposures from the nutrition survey.</w:t>
      </w:r>
    </w:p>
    <w:p w14:paraId="3BD81DA4" w14:textId="77777777" w:rsidR="0051780C" w:rsidRPr="00552334" w:rsidRDefault="0051780C" w:rsidP="0051780C">
      <w:pPr>
        <w:rPr>
          <w:lang w:val="en-GB"/>
        </w:rPr>
      </w:pPr>
    </w:p>
    <w:p w14:paraId="6CF5FFEE" w14:textId="77777777" w:rsidR="0051780C" w:rsidRPr="00552334" w:rsidRDefault="0051780C" w:rsidP="0051780C">
      <w:pPr>
        <w:rPr>
          <w:lang w:val="en-GB"/>
        </w:rPr>
      </w:pPr>
      <w:r w:rsidRPr="00E10D8F">
        <w:rPr>
          <w:lang w:val="en-GB"/>
        </w:rPr>
        <w:t xml:space="preserve">An overview of </w:t>
      </w:r>
      <w:hyperlink r:id="rId27" w:history="1">
        <w:r w:rsidRPr="00552334">
          <w:rPr>
            <w:rStyle w:val="Hyperlink"/>
            <w:lang w:val="en-GB"/>
          </w:rPr>
          <w:t>how dietary exposure assessments are conducted</w:t>
        </w:r>
      </w:hyperlink>
      <w:r w:rsidRPr="00552334">
        <w:rPr>
          <w:lang w:val="en-GB"/>
        </w:rPr>
        <w:t xml:space="preserve"> and their place in the FSANZ Risk Analysis Process is provided on the FSANZ website</w:t>
      </w:r>
      <w:r w:rsidRPr="00552334">
        <w:rPr>
          <w:rStyle w:val="FootnoteReference"/>
          <w:lang w:val="en-GB"/>
        </w:rPr>
        <w:footnoteReference w:id="6"/>
      </w:r>
      <w:r w:rsidRPr="00552334">
        <w:rPr>
          <w:lang w:val="en-GB"/>
        </w:rPr>
        <w:t>.</w:t>
      </w:r>
    </w:p>
    <w:p w14:paraId="3468481F" w14:textId="77777777" w:rsidR="0051780C" w:rsidRPr="00552334" w:rsidRDefault="0051780C" w:rsidP="0051780C">
      <w:pPr>
        <w:rPr>
          <w:lang w:val="en-GB"/>
        </w:rPr>
      </w:pPr>
    </w:p>
    <w:p w14:paraId="1FA38E14" w14:textId="77777777" w:rsidR="0051780C" w:rsidRPr="00552334" w:rsidRDefault="0051780C" w:rsidP="0051780C">
      <w:pPr>
        <w:rPr>
          <w:lang w:val="en-GB" w:eastAsia="en-GB"/>
        </w:rPr>
      </w:pPr>
      <w:r w:rsidRPr="00552334">
        <w:rPr>
          <w:lang w:val="en-GB" w:eastAsia="en-GB"/>
        </w:rPr>
        <w:t xml:space="preserve">FSANZ has developed a custom-built computer program ‘Harvest’ to calculate dietary exposures. Harvest is a newly built program and replaces the program ‘DIAMOND’ that had been used by FSANZ for many years. Harvest has been designed to replicate the calculations that occurred within DIAMOND using a different software package. Harvest was used for this assessment to extract the exposure data for plant sterols in foods with added plant sterols for Australian and New Zealand consumers. Dietary exposure assessments for all previous Applications for the addition of plant sterols to foods (e.g.A1019 </w:t>
      </w:r>
      <w:r w:rsidRPr="00E10D8F">
        <w:rPr>
          <w:bCs/>
          <w:i/>
          <w:lang w:val="en-GB" w:eastAsia="en-GB"/>
        </w:rPr>
        <w:t>Phytosterol esters in low</w:t>
      </w:r>
      <w:r w:rsidRPr="00552334">
        <w:rPr>
          <w:bCs/>
          <w:i/>
          <w:lang w:val="en-GB" w:eastAsia="en-GB"/>
        </w:rPr>
        <w:t xml:space="preserve"> fat cheese</w:t>
      </w:r>
      <w:r w:rsidRPr="00552334">
        <w:rPr>
          <w:lang w:val="en-GB" w:eastAsia="en-GB"/>
        </w:rPr>
        <w:t>) were conducted using the DIAMOND program.</w:t>
      </w:r>
    </w:p>
    <w:p w14:paraId="608E4D4F" w14:textId="77777777" w:rsidR="0051780C" w:rsidRPr="00552334" w:rsidRDefault="0051780C" w:rsidP="0051780C">
      <w:pPr>
        <w:rPr>
          <w:lang w:val="en-GB"/>
        </w:rPr>
      </w:pPr>
    </w:p>
    <w:p w14:paraId="4E38CACE" w14:textId="20DD577F" w:rsidR="0051780C" w:rsidRPr="00552334" w:rsidRDefault="0051780C" w:rsidP="0051780C">
      <w:pPr>
        <w:rPr>
          <w:highlight w:val="yellow"/>
          <w:lang w:val="en-GB"/>
        </w:rPr>
      </w:pPr>
      <w:r w:rsidRPr="00552334">
        <w:rPr>
          <w:lang w:val="en-GB"/>
        </w:rPr>
        <w:t xml:space="preserve">Further detailed information on conducting dietary exposure assessments at FSANZ is provided in </w:t>
      </w:r>
      <w:hyperlink r:id="rId28" w:history="1">
        <w:r w:rsidRPr="00F0687E">
          <w:rPr>
            <w:rStyle w:val="Hyperlink"/>
            <w:i/>
            <w:lang w:val="en-GB"/>
          </w:rPr>
          <w:t>Principles and Practices of Dietary Exposure Assessment for Food Regulatory Purposes</w:t>
        </w:r>
      </w:hyperlink>
      <w:r>
        <w:rPr>
          <w:lang w:val="en-GB"/>
        </w:rPr>
        <w:t xml:space="preserve"> </w:t>
      </w:r>
      <w:r w:rsidRPr="00552334">
        <w:rPr>
          <w:lang w:val="en-GB"/>
        </w:rPr>
        <w:t>(FSANZ 2009)</w:t>
      </w:r>
      <w:r w:rsidRPr="00552334">
        <w:rPr>
          <w:rStyle w:val="FootnoteReference"/>
          <w:lang w:val="en-GB"/>
        </w:rPr>
        <w:footnoteReference w:id="7"/>
      </w:r>
      <w:r w:rsidRPr="00552334">
        <w:rPr>
          <w:lang w:val="en-GB"/>
        </w:rPr>
        <w:t xml:space="preserve">. </w:t>
      </w:r>
    </w:p>
    <w:p w14:paraId="079233AF" w14:textId="77777777" w:rsidR="0051780C" w:rsidRPr="00552334" w:rsidRDefault="0051780C" w:rsidP="00B14D36">
      <w:pPr>
        <w:pStyle w:val="Heading3"/>
      </w:pPr>
      <w:bookmarkStart w:id="434" w:name="_Toc256582725"/>
      <w:bookmarkStart w:id="435" w:name="_Toc360028638"/>
      <w:bookmarkStart w:id="436" w:name="_Toc434566818"/>
      <w:bookmarkStart w:id="437" w:name="_Toc477274243"/>
      <w:r w:rsidRPr="00552334">
        <w:t>A1.1</w:t>
      </w:r>
      <w:r w:rsidRPr="00552334">
        <w:tab/>
        <w:t>Food consumption data used</w:t>
      </w:r>
      <w:bookmarkEnd w:id="434"/>
      <w:bookmarkEnd w:id="435"/>
      <w:bookmarkEnd w:id="436"/>
      <w:bookmarkEnd w:id="437"/>
    </w:p>
    <w:p w14:paraId="2E05A611" w14:textId="77777777" w:rsidR="0051780C" w:rsidRPr="00E10D8F" w:rsidRDefault="0051780C" w:rsidP="0051780C">
      <w:pPr>
        <w:rPr>
          <w:lang w:val="en-GB"/>
        </w:rPr>
      </w:pPr>
      <w:r w:rsidRPr="00E10D8F">
        <w:rPr>
          <w:lang w:val="en-GB"/>
        </w:rPr>
        <w:t>The most recent food consumption data available were used to estimate plant sterol exposures for the Australian and New Zealand populations. The NNS data used for these assessments were:</w:t>
      </w:r>
    </w:p>
    <w:p w14:paraId="29C0B61D" w14:textId="77777777" w:rsidR="0051780C" w:rsidRPr="00552334" w:rsidRDefault="0051780C" w:rsidP="0051780C">
      <w:pPr>
        <w:rPr>
          <w:lang w:val="en-GB"/>
        </w:rPr>
      </w:pPr>
    </w:p>
    <w:p w14:paraId="61174B81" w14:textId="7C7782EF" w:rsidR="0051780C" w:rsidRPr="00552334" w:rsidRDefault="0051780C" w:rsidP="0051780C">
      <w:pPr>
        <w:ind w:left="567" w:hanging="567"/>
        <w:rPr>
          <w:rFonts w:cs="Arial"/>
          <w:lang w:val="en-GB"/>
        </w:rPr>
      </w:pPr>
      <w:r w:rsidRPr="00552334">
        <w:rPr>
          <w:rFonts w:cs="Arial"/>
          <w:lang w:val="en-GB"/>
        </w:rPr>
        <w:t>The 2011</w:t>
      </w:r>
      <w:r>
        <w:rPr>
          <w:rFonts w:cs="Arial"/>
          <w:lang w:val="en-GB"/>
        </w:rPr>
        <w:sym w:font="Symbol" w:char="F02D"/>
      </w:r>
      <w:r w:rsidRPr="00552334">
        <w:rPr>
          <w:rFonts w:cs="Arial"/>
          <w:lang w:val="en-GB"/>
        </w:rPr>
        <w:t>12 Australian National Nutrition and Physical Activity Survey (2011-12 NNPAS)</w:t>
      </w:r>
    </w:p>
    <w:p w14:paraId="55B86CF4" w14:textId="77777777" w:rsidR="0051780C" w:rsidRPr="00552334" w:rsidRDefault="0051780C" w:rsidP="0051780C">
      <w:pPr>
        <w:ind w:left="567" w:hanging="567"/>
        <w:rPr>
          <w:rFonts w:cs="Arial"/>
          <w:lang w:val="en-GB"/>
        </w:rPr>
      </w:pPr>
      <w:r w:rsidRPr="00552334">
        <w:rPr>
          <w:rFonts w:cs="Arial"/>
          <w:lang w:val="en-GB"/>
        </w:rPr>
        <w:t>The 2002 New Zealand National Children’s Nutrition Survey (2002 NZ NCNS)</w:t>
      </w:r>
    </w:p>
    <w:p w14:paraId="1F38A55C" w14:textId="0FE70C27" w:rsidR="0051780C" w:rsidRPr="00552334" w:rsidRDefault="0051780C" w:rsidP="0051780C">
      <w:pPr>
        <w:ind w:left="567" w:hanging="567"/>
        <w:rPr>
          <w:rFonts w:cs="Arial"/>
          <w:lang w:val="en-GB"/>
        </w:rPr>
      </w:pPr>
      <w:r w:rsidRPr="00552334">
        <w:rPr>
          <w:rFonts w:cs="Arial"/>
          <w:lang w:val="en-GB"/>
        </w:rPr>
        <w:t>The 2008</w:t>
      </w:r>
      <w:r>
        <w:rPr>
          <w:rFonts w:cs="Arial"/>
          <w:lang w:val="en-GB"/>
        </w:rPr>
        <w:sym w:font="Symbol" w:char="F02D"/>
      </w:r>
      <w:r w:rsidRPr="00552334">
        <w:rPr>
          <w:rFonts w:cs="Arial"/>
          <w:lang w:val="en-GB"/>
        </w:rPr>
        <w:t>09 New Zealand Adult Nutrition Survey (2008 NZ ANS).</w:t>
      </w:r>
    </w:p>
    <w:p w14:paraId="5B2C704B" w14:textId="77777777" w:rsidR="0051780C" w:rsidRPr="00552334" w:rsidRDefault="0051780C" w:rsidP="0051780C">
      <w:pPr>
        <w:rPr>
          <w:lang w:val="en-GB"/>
        </w:rPr>
      </w:pPr>
    </w:p>
    <w:p w14:paraId="52DCDE16" w14:textId="77777777" w:rsidR="0051780C" w:rsidRPr="00552334" w:rsidRDefault="0051780C" w:rsidP="0051780C">
      <w:pPr>
        <w:rPr>
          <w:i/>
          <w:highlight w:val="yellow"/>
          <w:lang w:val="en-GB"/>
        </w:rPr>
      </w:pPr>
      <w:r w:rsidRPr="00552334">
        <w:rPr>
          <w:lang w:val="en-GB"/>
        </w:rPr>
        <w:t xml:space="preserve">The design of each of these surveys varies somewhat and key attributes of each are set out below. </w:t>
      </w:r>
      <w:hyperlink r:id="rId29" w:history="1">
        <w:r w:rsidRPr="00F0687E">
          <w:rPr>
            <w:rStyle w:val="Hyperlink"/>
            <w:lang w:val="en-GB" w:eastAsia="en-AU"/>
          </w:rPr>
          <w:t>Further information on the national nutrition surveys</w:t>
        </w:r>
      </w:hyperlink>
      <w:r w:rsidRPr="00547FB5">
        <w:rPr>
          <w:lang w:val="en-GB" w:eastAsia="en-AU"/>
        </w:rPr>
        <w:t xml:space="preserve"> used to conduct dietary exposure assessments is available on the FSANZ website</w:t>
      </w:r>
      <w:r w:rsidRPr="00F0687E">
        <w:rPr>
          <w:rStyle w:val="FootnoteReference"/>
          <w:lang w:val="en-GB" w:eastAsia="en-AU"/>
        </w:rPr>
        <w:footnoteReference w:id="8"/>
      </w:r>
      <w:r w:rsidRPr="00F0687E">
        <w:rPr>
          <w:lang w:val="en-GB" w:eastAsia="en-AU"/>
        </w:rPr>
        <w:t>.</w:t>
      </w:r>
    </w:p>
    <w:p w14:paraId="7E40E0F5" w14:textId="6BC0499A" w:rsidR="002166FB" w:rsidRDefault="002166FB">
      <w:pPr>
        <w:widowControl/>
        <w:rPr>
          <w:b/>
          <w:bCs/>
          <w:i/>
          <w:iCs/>
          <w:lang w:val="en-GB"/>
        </w:rPr>
      </w:pPr>
      <w:bookmarkStart w:id="438" w:name="_Toc434566819"/>
      <w:r>
        <w:rPr>
          <w:b/>
          <w:bCs/>
          <w:i/>
          <w:iCs/>
          <w:lang w:val="en-GB"/>
        </w:rPr>
        <w:br w:type="page"/>
      </w:r>
    </w:p>
    <w:p w14:paraId="1A031795" w14:textId="77777777" w:rsidR="0051780C" w:rsidRPr="00552334" w:rsidRDefault="0051780C" w:rsidP="00F0687E">
      <w:pPr>
        <w:pStyle w:val="Heading4"/>
      </w:pPr>
      <w:r w:rsidRPr="00552334">
        <w:lastRenderedPageBreak/>
        <w:t xml:space="preserve">A1.1.1 </w:t>
      </w:r>
      <w:r>
        <w:tab/>
      </w:r>
      <w:r w:rsidRPr="00552334">
        <w:t>2011-12 Australian National Nutrition and Physical Activity Survey (2011-12 NNPAS)</w:t>
      </w:r>
      <w:bookmarkEnd w:id="438"/>
    </w:p>
    <w:p w14:paraId="03AC7D48" w14:textId="77777777" w:rsidR="0051780C" w:rsidRPr="00552334" w:rsidRDefault="0051780C" w:rsidP="0051780C">
      <w:pPr>
        <w:rPr>
          <w:b/>
          <w:bCs/>
          <w:i/>
          <w:iCs/>
          <w:lang w:val="en-GB"/>
        </w:rPr>
      </w:pPr>
    </w:p>
    <w:p w14:paraId="0B4EF7F2" w14:textId="77777777" w:rsidR="0051780C" w:rsidRPr="00552334" w:rsidRDefault="0051780C" w:rsidP="0051780C">
      <w:pPr>
        <w:rPr>
          <w:lang w:val="en-GB"/>
        </w:rPr>
      </w:pPr>
      <w:r w:rsidRPr="00552334">
        <w:rPr>
          <w:lang w:val="en-GB"/>
        </w:rPr>
        <w:t xml:space="preserve">The 2011–12 Australian National Nutrition and Physical Activity Survey (NNPAS) undertaken by the Australian Bureau of Statistics is the most recent food consumption data for Australia. This survey includes dietary patterns of a sample of 12,153 Australians aged from 2 years and above. The survey used a 24-hour recall method for all respondents, with 64% of respondents also </w:t>
      </w:r>
      <w:r w:rsidRPr="00552334">
        <w:rPr>
          <w:szCs w:val="22"/>
          <w:lang w:val="en-GB"/>
        </w:rPr>
        <w:t>completing a second 24-hour recall on a second, non-consecutive day. The data were collected from May 2011 to June 2012 (with no enumera</w:t>
      </w:r>
      <w:r w:rsidRPr="00E10D8F">
        <w:rPr>
          <w:szCs w:val="22"/>
          <w:lang w:val="en-GB"/>
        </w:rPr>
        <w:t xml:space="preserve">tion between August and September 2011 due to the Census). </w:t>
      </w:r>
      <w:r w:rsidRPr="00547FB5">
        <w:rPr>
          <w:szCs w:val="22"/>
          <w:lang w:val="en-GB" w:eastAsia="en-AU"/>
        </w:rPr>
        <w:t>Day</w:t>
      </w:r>
      <w:r w:rsidRPr="00547FB5">
        <w:rPr>
          <w:lang w:val="en-GB" w:eastAsia="en-AU"/>
        </w:rPr>
        <w:t xml:space="preserve"> 1 and Day 2 24-hour recall data for respondents were used for this assessment. </w:t>
      </w:r>
      <w:r w:rsidRPr="00552334">
        <w:rPr>
          <w:lang w:val="en-GB"/>
        </w:rPr>
        <w:t xml:space="preserve">These data were weighted for use in the calculation. Consumption and respondent data from the survey were incorporated into the Harvest program from the Confidentialised Unit Record Files (CURF) data set </w:t>
      </w:r>
      <w:r w:rsidRPr="00E10D8F">
        <w:rPr>
          <w:lang w:val="en-GB"/>
        </w:rPr>
        <w:fldChar w:fldCharType="begin"/>
      </w:r>
      <w:r w:rsidRPr="00552334">
        <w:rPr>
          <w:lang w:val="en-GB"/>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E10D8F">
        <w:rPr>
          <w:lang w:val="en-GB"/>
        </w:rPr>
        <w:fldChar w:fldCharType="separate"/>
      </w:r>
      <w:r w:rsidRPr="00E10D8F">
        <w:rPr>
          <w:noProof/>
          <w:lang w:val="en-GB"/>
        </w:rPr>
        <w:t>(ABS 2014)</w:t>
      </w:r>
      <w:r w:rsidRPr="00E10D8F">
        <w:rPr>
          <w:lang w:val="en-GB"/>
        </w:rPr>
        <w:fldChar w:fldCharType="end"/>
      </w:r>
      <w:r w:rsidRPr="00552334">
        <w:rPr>
          <w:lang w:val="en-GB"/>
        </w:rPr>
        <w:t>.</w:t>
      </w:r>
    </w:p>
    <w:p w14:paraId="6F8AA8A6" w14:textId="77777777" w:rsidR="0051780C" w:rsidRPr="00552334" w:rsidRDefault="0051780C" w:rsidP="00F0687E">
      <w:pPr>
        <w:pStyle w:val="Heading4"/>
      </w:pPr>
      <w:bookmarkStart w:id="439" w:name="_Toc434566820"/>
      <w:r w:rsidRPr="00552334">
        <w:t xml:space="preserve">A1.1.2 </w:t>
      </w:r>
      <w:r>
        <w:tab/>
      </w:r>
      <w:r w:rsidRPr="00552334">
        <w:t>2002 New Zealand National Children’s Nutrition Survey (2002 NZ NCNS)</w:t>
      </w:r>
      <w:bookmarkEnd w:id="439"/>
    </w:p>
    <w:p w14:paraId="3574C8D0" w14:textId="77777777" w:rsidR="0051780C" w:rsidRPr="00552334" w:rsidRDefault="0051780C" w:rsidP="00F0687E">
      <w:pPr>
        <w:autoSpaceDE w:val="0"/>
        <w:autoSpaceDN w:val="0"/>
        <w:adjustRightInd w:val="0"/>
        <w:rPr>
          <w:b/>
          <w:bCs/>
          <w:i/>
          <w:iCs/>
          <w:lang w:val="en-GB"/>
        </w:rPr>
      </w:pPr>
      <w:r w:rsidRPr="00552334">
        <w:rPr>
          <w:lang w:val="en-GB"/>
        </w:rPr>
        <w:t xml:space="preserve">The 2002 NZ NCNS was a cross-sectional and </w:t>
      </w:r>
      <w:r w:rsidRPr="00E10D8F">
        <w:rPr>
          <w:rFonts w:cs="Arial"/>
          <w:lang w:val="en-GB"/>
        </w:rPr>
        <w:t xml:space="preserve">nationally representative </w:t>
      </w:r>
      <w:r w:rsidRPr="00552334">
        <w:rPr>
          <w:lang w:val="en-GB"/>
        </w:rPr>
        <w:t xml:space="preserve">survey of </w:t>
      </w:r>
      <w:r w:rsidRPr="00552334">
        <w:rPr>
          <w:rFonts w:cs="Arial"/>
          <w:lang w:val="en-GB"/>
        </w:rPr>
        <w:t xml:space="preserve">3,275 </w:t>
      </w:r>
      <w:r w:rsidRPr="00552334">
        <w:rPr>
          <w:lang w:val="en-GB"/>
        </w:rPr>
        <w:t xml:space="preserve">New Zealand children </w:t>
      </w:r>
      <w:r w:rsidRPr="00552334">
        <w:rPr>
          <w:rFonts w:cs="Arial"/>
          <w:lang w:val="en-GB"/>
        </w:rPr>
        <w:t>aged 5–14 years.</w:t>
      </w:r>
      <w:r w:rsidRPr="00552334">
        <w:rPr>
          <w:lang w:val="en-GB"/>
        </w:rPr>
        <w:t xml:space="preserve"> The data were collected </w:t>
      </w:r>
      <w:r w:rsidRPr="00552334">
        <w:rPr>
          <w:rFonts w:cs="Arial"/>
          <w:lang w:val="en-GB"/>
        </w:rPr>
        <w:t xml:space="preserve">during the school year from February to December 2002. The survey used a 24-hour food recall and </w:t>
      </w:r>
      <w:r w:rsidRPr="00552334">
        <w:rPr>
          <w:lang w:val="en-GB"/>
        </w:rPr>
        <w:t xml:space="preserve">provided information on food and nutrient intakes, eating patterns, frequently eaten foods, </w:t>
      </w:r>
      <w:r w:rsidRPr="00552334">
        <w:rPr>
          <w:rFonts w:cs="Arial"/>
          <w:lang w:val="en-GB"/>
        </w:rPr>
        <w:t>physical activity patterns, dental health, anthropometric measures and nutrition-related clinical measures.</w:t>
      </w:r>
      <w:r w:rsidRPr="00552334">
        <w:rPr>
          <w:lang w:val="en-GB"/>
        </w:rPr>
        <w:t xml:space="preserve"> It was also the first children’s nutrition survey in New Zealand to include a second day diet recall data for about 15% of the respondents, and dietary intake from both foods (including beverages) and dietary supplements. </w:t>
      </w:r>
      <w:r w:rsidRPr="00547FB5">
        <w:rPr>
          <w:lang w:val="en-GB" w:eastAsia="en-AU"/>
        </w:rPr>
        <w:t xml:space="preserve">Only the Day 1 24-hour recall data for all respondents (excluding supplements) were used for this assessment. </w:t>
      </w:r>
      <w:r w:rsidRPr="00552334">
        <w:rPr>
          <w:lang w:val="en-GB"/>
        </w:rPr>
        <w:t>These data were weighted for use in Harvest.</w:t>
      </w:r>
      <w:bookmarkStart w:id="440" w:name="_Toc434566821"/>
    </w:p>
    <w:p w14:paraId="5C48AB9A" w14:textId="77777777" w:rsidR="0051780C" w:rsidRPr="00552334" w:rsidRDefault="0051780C" w:rsidP="00F0687E">
      <w:pPr>
        <w:pStyle w:val="Heading4"/>
      </w:pPr>
      <w:r w:rsidRPr="00552334">
        <w:t xml:space="preserve">A1.1.3 </w:t>
      </w:r>
      <w:r>
        <w:tab/>
      </w:r>
      <w:r w:rsidRPr="00552334">
        <w:t>2008-09 New Zealand Adult Nutrition Survey (2008 NZ ANS)</w:t>
      </w:r>
      <w:bookmarkEnd w:id="440"/>
    </w:p>
    <w:p w14:paraId="6AEC1D31" w14:textId="77777777" w:rsidR="0051780C" w:rsidRPr="00547FB5" w:rsidRDefault="0051780C" w:rsidP="0051780C">
      <w:pPr>
        <w:rPr>
          <w:lang w:val="en-GB" w:eastAsia="en-AU"/>
        </w:rPr>
      </w:pPr>
      <w:r w:rsidRPr="00547FB5">
        <w:rPr>
          <w:lang w:val="en-GB" w:eastAsia="en-AU"/>
        </w:rPr>
        <w:t xml:space="preserve">The 2008 NZ ANS provides comprehensive information on the dietary patterns of a sample of 4,721 respondents aged 15 years and above. The survey was conducted on a stratified sample over a 12 month period from October 2008 to October 2009. The survey used a </w:t>
      </w:r>
    </w:p>
    <w:p w14:paraId="7F28D05E" w14:textId="77777777" w:rsidR="0051780C" w:rsidRPr="00552334" w:rsidRDefault="0051780C" w:rsidP="0051780C">
      <w:pPr>
        <w:rPr>
          <w:lang w:val="en-GB"/>
        </w:rPr>
      </w:pPr>
      <w:r w:rsidRPr="00547FB5">
        <w:rPr>
          <w:lang w:val="en-GB" w:eastAsia="en-AU"/>
        </w:rPr>
        <w:t>24-hour recall methodology with 25% of respondents also completing a second 24-hour recall.</w:t>
      </w:r>
      <w:r w:rsidRPr="00552334">
        <w:rPr>
          <w:rFonts w:cs="Arial"/>
          <w:lang w:val="en-GB"/>
        </w:rPr>
        <w:t xml:space="preserve"> The information collected in the 2008 NZ ANS </w:t>
      </w:r>
      <w:r w:rsidRPr="00552334">
        <w:rPr>
          <w:lang w:val="en-GB"/>
        </w:rPr>
        <w:t>included food and nutrient intakes, dietary supplement use, socio-demographics, nutrition related health, and</w:t>
      </w:r>
      <w:r w:rsidRPr="00552334">
        <w:rPr>
          <w:rFonts w:cs="Arial"/>
          <w:lang w:val="en-GB"/>
        </w:rPr>
        <w:t xml:space="preserve"> anthropometric measures.</w:t>
      </w:r>
      <w:r w:rsidRPr="00552334">
        <w:rPr>
          <w:lang w:val="en-GB"/>
        </w:rPr>
        <w:t xml:space="preserve"> </w:t>
      </w:r>
      <w:r w:rsidRPr="00547FB5">
        <w:rPr>
          <w:lang w:val="en-GB" w:eastAsia="en-AU"/>
        </w:rPr>
        <w:t>Only the Day 1 24-hour recall data for all respondents were used for this assessment. These data were weighted for use in Harvest.</w:t>
      </w:r>
      <w:bookmarkStart w:id="441" w:name="_Toc360028639"/>
      <w:bookmarkEnd w:id="441"/>
    </w:p>
    <w:p w14:paraId="5BCE91D2" w14:textId="77777777" w:rsidR="0051780C" w:rsidRPr="00552334" w:rsidRDefault="0051780C" w:rsidP="00B14D36">
      <w:pPr>
        <w:pStyle w:val="Heading3"/>
      </w:pPr>
      <w:bookmarkStart w:id="442" w:name="_Toc247509506"/>
      <w:bookmarkStart w:id="443" w:name="_Toc256582727"/>
      <w:bookmarkStart w:id="444" w:name="_Toc360028640"/>
      <w:bookmarkStart w:id="445" w:name="_Toc434566822"/>
      <w:bookmarkStart w:id="446" w:name="_Toc477274244"/>
      <w:r w:rsidRPr="00552334">
        <w:t>A1.2</w:t>
      </w:r>
      <w:r w:rsidRPr="00552334">
        <w:tab/>
        <w:t>Limitations of dietary exposure assessments</w:t>
      </w:r>
      <w:bookmarkEnd w:id="442"/>
      <w:bookmarkEnd w:id="443"/>
      <w:bookmarkEnd w:id="444"/>
      <w:bookmarkEnd w:id="445"/>
      <w:bookmarkEnd w:id="446"/>
    </w:p>
    <w:p w14:paraId="1EBCFFE1" w14:textId="77777777" w:rsidR="0051780C" w:rsidRPr="00552334" w:rsidRDefault="0051780C" w:rsidP="0051780C">
      <w:pPr>
        <w:rPr>
          <w:lang w:val="en-GB"/>
        </w:rPr>
      </w:pPr>
      <w:r w:rsidRPr="00552334">
        <w:rPr>
          <w:lang w:val="en-GB"/>
        </w:rPr>
        <w:t>Dietary exposure assessments based on 2011-12 NNPAS, 2002 NZ NCNS and 2008 NZ ANS food consumption data provide the best estimation of actual consumption of a food and the resulting estimated dietary exposure assessment for the Australian population aged 2 years and above, as well as the New Zealand populations aged 5</w:t>
      </w:r>
      <w:r w:rsidRPr="00E10D8F">
        <w:rPr>
          <w:rFonts w:cs="Arial"/>
          <w:lang w:val="en-GB"/>
        </w:rPr>
        <w:t>–</w:t>
      </w:r>
      <w:r w:rsidRPr="00552334">
        <w:rPr>
          <w:lang w:val="en-GB"/>
        </w:rPr>
        <w:t xml:space="preserve">14 years and 15 years and above, respectively. However, it should be noted that NNS data do have limitations. Further details of the limitations relating to dietary exposure assessments undertaken by FSANZ are set out in the FSANZ document, </w:t>
      </w:r>
      <w:r w:rsidRPr="00552334">
        <w:rPr>
          <w:i/>
          <w:lang w:val="en-GB"/>
        </w:rPr>
        <w:t>Principles and Practices of Dietary Exposure Assessment for Food Regulatory Purposes</w:t>
      </w:r>
      <w:r w:rsidRPr="00552334">
        <w:rPr>
          <w:lang w:val="en-GB"/>
        </w:rPr>
        <w:t xml:space="preserve"> (FSANZ 2009).</w:t>
      </w:r>
    </w:p>
    <w:p w14:paraId="53B1255E" w14:textId="77777777" w:rsidR="0051780C" w:rsidRPr="00552334" w:rsidRDefault="0051780C" w:rsidP="0051780C">
      <w:pPr>
        <w:rPr>
          <w:lang w:val="en-GB"/>
        </w:rPr>
      </w:pPr>
    </w:p>
    <w:p w14:paraId="4DF35DB1" w14:textId="77777777" w:rsidR="0051780C" w:rsidRPr="00552334" w:rsidRDefault="0051780C" w:rsidP="0051780C">
      <w:pPr>
        <w:rPr>
          <w:lang w:val="en-GB"/>
        </w:rPr>
      </w:pPr>
    </w:p>
    <w:p w14:paraId="0C5E2147" w14:textId="77777777" w:rsidR="0051780C" w:rsidRPr="00552334" w:rsidRDefault="0051780C" w:rsidP="0051780C">
      <w:pPr>
        <w:rPr>
          <w:lang w:val="en-GB"/>
        </w:rPr>
      </w:pPr>
      <w:r w:rsidRPr="00552334">
        <w:rPr>
          <w:lang w:val="en-GB"/>
        </w:rPr>
        <w:br w:type="page"/>
      </w:r>
    </w:p>
    <w:p w14:paraId="122F4955" w14:textId="77777777" w:rsidR="0051780C" w:rsidRPr="00552334" w:rsidRDefault="0051780C" w:rsidP="00B14D36">
      <w:pPr>
        <w:pStyle w:val="Heading2"/>
        <w:rPr>
          <w:lang w:eastAsia="en-AU"/>
        </w:rPr>
      </w:pPr>
      <w:bookmarkStart w:id="447" w:name="_Toc463507658"/>
      <w:bookmarkStart w:id="448" w:name="_Toc463881799"/>
      <w:bookmarkStart w:id="449" w:name="_Toc464569654"/>
      <w:bookmarkStart w:id="450" w:name="_Toc466903410"/>
      <w:bookmarkStart w:id="451" w:name="_Toc466909075"/>
      <w:bookmarkStart w:id="452" w:name="_Toc466986191"/>
      <w:bookmarkStart w:id="453" w:name="_Toc466986244"/>
      <w:bookmarkStart w:id="454" w:name="_Toc467052909"/>
      <w:bookmarkStart w:id="455" w:name="_Toc467064062"/>
      <w:bookmarkStart w:id="456" w:name="_Toc467064509"/>
      <w:bookmarkStart w:id="457" w:name="_Toc467077516"/>
      <w:bookmarkStart w:id="458" w:name="_Toc477274245"/>
      <w:r w:rsidRPr="00552334">
        <w:rPr>
          <w:lang w:eastAsia="en-AU"/>
        </w:rPr>
        <w:lastRenderedPageBreak/>
        <w:t>Appendix 2: Food classifications used in Harvest modelling</w:t>
      </w:r>
      <w:bookmarkEnd w:id="447"/>
      <w:bookmarkEnd w:id="448"/>
      <w:bookmarkEnd w:id="449"/>
      <w:bookmarkEnd w:id="450"/>
      <w:bookmarkEnd w:id="451"/>
      <w:bookmarkEnd w:id="452"/>
      <w:bookmarkEnd w:id="453"/>
      <w:bookmarkEnd w:id="454"/>
      <w:bookmarkEnd w:id="455"/>
      <w:bookmarkEnd w:id="456"/>
      <w:bookmarkEnd w:id="457"/>
      <w:bookmarkEnd w:id="458"/>
      <w:r w:rsidRPr="00552334">
        <w:rPr>
          <w:lang w:eastAsia="en-AU"/>
        </w:rPr>
        <w:t xml:space="preserve"> </w:t>
      </w:r>
    </w:p>
    <w:p w14:paraId="3B1CFF9F" w14:textId="474F447E" w:rsidR="0051780C" w:rsidRPr="00552334" w:rsidRDefault="0051780C" w:rsidP="0051780C">
      <w:pPr>
        <w:rPr>
          <w:lang w:val="en-GB"/>
        </w:rPr>
      </w:pPr>
      <w:r w:rsidRPr="00552334">
        <w:rPr>
          <w:lang w:val="en-GB"/>
        </w:rPr>
        <w:t>Foods that are permitted to contain added plant sterols are specified in the Code. However, these foods are coded in Harvest according to classification names and codes that can vary slightly from the Code and may also be split into sub-groups. To estimate plant sterol exposure from foods with added plant sterols, foods were assigned to the relevant Harvest food classification codes as listed in Table A1. New classification codes were created for the scenario model where plant sterols added at the proposed maximum amount of 2.2g/serve would be added to all breakfast cereals meeting the sugar and fibre criteria (see Schedule 25 of the Code) and included oats and porridge.</w:t>
      </w:r>
    </w:p>
    <w:p w14:paraId="62874403" w14:textId="77777777" w:rsidR="0051780C" w:rsidRPr="00552334" w:rsidRDefault="0051780C" w:rsidP="0051780C">
      <w:pPr>
        <w:rPr>
          <w:lang w:val="en-GB"/>
        </w:rPr>
      </w:pPr>
    </w:p>
    <w:p w14:paraId="7A490B57" w14:textId="77777777" w:rsidR="0051780C" w:rsidRPr="00F0687E" w:rsidRDefault="0051780C" w:rsidP="0051780C">
      <w:pPr>
        <w:rPr>
          <w:lang w:val="en-GB"/>
        </w:rPr>
      </w:pPr>
      <w:r w:rsidRPr="00552334">
        <w:rPr>
          <w:lang w:val="en-GB"/>
        </w:rPr>
        <w:t xml:space="preserve">It is important to note that one of limitations of collecting food consumption data from nutrition surveys is that (1) consumers often do not know the exact product that is consumed, and/or (2) </w:t>
      </w:r>
      <w:r w:rsidRPr="00F0687E">
        <w:rPr>
          <w:lang w:val="en-GB"/>
        </w:rPr>
        <w:t>Harvest classifications do not match the criteria for the permission to add plant sterols specified in the Code. This is likely to be a factor for cheese, milk and yoghurt. Nevertheless consumption data from nutrition surveys for these foods were included in exposure estimates because people in the survey reported consuming the plant sterol versions of these foods.</w:t>
      </w:r>
    </w:p>
    <w:p w14:paraId="5F450A28" w14:textId="77777777" w:rsidR="0051780C" w:rsidRPr="00F0687E" w:rsidRDefault="0051780C" w:rsidP="0051780C">
      <w:pPr>
        <w:rPr>
          <w:lang w:val="en-GB"/>
        </w:rPr>
      </w:pPr>
    </w:p>
    <w:p w14:paraId="76A37C9D" w14:textId="47036B6B" w:rsidR="0051780C" w:rsidRDefault="0051780C" w:rsidP="002166FB">
      <w:pPr>
        <w:pStyle w:val="FSTableTitle"/>
        <w:spacing w:after="120"/>
        <w:rPr>
          <w:vertAlign w:val="superscript"/>
          <w:lang w:val="en-GB"/>
        </w:rPr>
      </w:pPr>
      <w:bookmarkStart w:id="459" w:name="_Ref406494059"/>
      <w:bookmarkStart w:id="460" w:name="_Ref406501388"/>
      <w:r w:rsidRPr="00552334">
        <w:rPr>
          <w:lang w:val="en-GB"/>
        </w:rPr>
        <w:t>Table A</w:t>
      </w:r>
      <w:bookmarkEnd w:id="459"/>
      <w:r w:rsidRPr="00552334">
        <w:rPr>
          <w:lang w:val="en-GB"/>
        </w:rPr>
        <w:t>1</w:t>
      </w:r>
      <w:r>
        <w:rPr>
          <w:lang w:val="en-GB"/>
        </w:rPr>
        <w:t xml:space="preserve">: </w:t>
      </w:r>
      <w:r w:rsidRPr="00552334">
        <w:rPr>
          <w:lang w:val="en-GB"/>
        </w:rPr>
        <w:t xml:space="preserve">Existing and new classification names and codes used for the </w:t>
      </w:r>
      <w:bookmarkEnd w:id="460"/>
      <w:r w:rsidRPr="00552334">
        <w:rPr>
          <w:lang w:val="en-GB"/>
        </w:rPr>
        <w:t>dietary exposure assessment</w:t>
      </w:r>
      <w:r w:rsidRPr="00552334">
        <w:rPr>
          <w:vertAlign w:val="superscript"/>
          <w:lang w:val="en-GB"/>
        </w:rPr>
        <w:t xml:space="preserve">1 </w:t>
      </w:r>
    </w:p>
    <w:tbl>
      <w:tblPr>
        <w:tblStyle w:val="TableGrid2"/>
        <w:tblW w:w="9322" w:type="dxa"/>
        <w:tblLayout w:type="fixed"/>
        <w:tblLook w:val="04A0" w:firstRow="1" w:lastRow="0" w:firstColumn="1" w:lastColumn="0" w:noHBand="0" w:noVBand="1"/>
        <w:tblCaption w:val="Existing and new classification names and codes used for the dietary exposure assessment1 "/>
      </w:tblPr>
      <w:tblGrid>
        <w:gridCol w:w="1242"/>
        <w:gridCol w:w="1134"/>
        <w:gridCol w:w="1276"/>
        <w:gridCol w:w="4394"/>
        <w:gridCol w:w="1276"/>
      </w:tblGrid>
      <w:tr w:rsidR="0051780C" w:rsidRPr="00552334" w14:paraId="12373D9E" w14:textId="77777777" w:rsidTr="00A573C4">
        <w:trPr>
          <w:trHeight w:val="340"/>
          <w:tblHeader/>
        </w:trPr>
        <w:tc>
          <w:tcPr>
            <w:tcW w:w="9322" w:type="dxa"/>
            <w:gridSpan w:val="5"/>
            <w:vAlign w:val="center"/>
          </w:tcPr>
          <w:p w14:paraId="41A92D2F" w14:textId="17CA0CBA" w:rsidR="0051780C" w:rsidRPr="00552334" w:rsidRDefault="0051780C" w:rsidP="00A573C4">
            <w:pPr>
              <w:pStyle w:val="FSTableText"/>
              <w:rPr>
                <w:b/>
                <w:lang w:val="en-GB"/>
              </w:rPr>
            </w:pPr>
            <w:r w:rsidRPr="00552334">
              <w:rPr>
                <w:b/>
                <w:lang w:val="en-GB"/>
              </w:rPr>
              <w:t>Existing Classifications</w:t>
            </w:r>
            <w:r w:rsidR="00F3797F">
              <w:rPr>
                <w:b/>
                <w:lang w:val="en-GB"/>
              </w:rPr>
              <w:t xml:space="preserve"> </w:t>
            </w:r>
            <w:r w:rsidRPr="00552334">
              <w:rPr>
                <w:b/>
                <w:lang w:val="en-GB"/>
              </w:rPr>
              <w:t>- Food Standards Code</w:t>
            </w:r>
          </w:p>
        </w:tc>
      </w:tr>
      <w:tr w:rsidR="0051780C" w:rsidRPr="00552334" w14:paraId="4C4D006F" w14:textId="77777777" w:rsidTr="00A573C4">
        <w:trPr>
          <w:trHeight w:val="283"/>
        </w:trPr>
        <w:tc>
          <w:tcPr>
            <w:tcW w:w="3652" w:type="dxa"/>
            <w:gridSpan w:val="3"/>
            <w:vAlign w:val="center"/>
          </w:tcPr>
          <w:p w14:paraId="6C438C32" w14:textId="58A9EE44" w:rsidR="0051780C" w:rsidRPr="00552334" w:rsidRDefault="0051780C" w:rsidP="00A573C4">
            <w:pPr>
              <w:pStyle w:val="FSTableText"/>
              <w:rPr>
                <w:b/>
                <w:lang w:val="en-GB"/>
              </w:rPr>
            </w:pPr>
            <w:r>
              <w:rPr>
                <w:b/>
                <w:lang w:val="en-GB"/>
              </w:rPr>
              <w:t xml:space="preserve">Standards in the </w:t>
            </w:r>
            <w:r w:rsidRPr="00552334">
              <w:rPr>
                <w:b/>
                <w:lang w:val="en-GB"/>
              </w:rPr>
              <w:t xml:space="preserve">Code </w:t>
            </w:r>
          </w:p>
        </w:tc>
        <w:tc>
          <w:tcPr>
            <w:tcW w:w="5670" w:type="dxa"/>
            <w:gridSpan w:val="2"/>
            <w:vAlign w:val="center"/>
          </w:tcPr>
          <w:p w14:paraId="76664409" w14:textId="77777777" w:rsidR="0051780C" w:rsidRPr="00552334" w:rsidRDefault="0051780C" w:rsidP="00A573C4">
            <w:pPr>
              <w:pStyle w:val="FSTableText"/>
              <w:jc w:val="center"/>
              <w:rPr>
                <w:b/>
                <w:lang w:val="en-GB"/>
              </w:rPr>
            </w:pPr>
            <w:r w:rsidRPr="00552334">
              <w:rPr>
                <w:b/>
                <w:lang w:val="en-GB"/>
              </w:rPr>
              <w:t>Harvest</w:t>
            </w:r>
          </w:p>
        </w:tc>
      </w:tr>
      <w:tr w:rsidR="0051780C" w:rsidRPr="00552334" w14:paraId="46745118" w14:textId="77777777" w:rsidTr="00A573C4">
        <w:trPr>
          <w:trHeight w:val="283"/>
        </w:trPr>
        <w:tc>
          <w:tcPr>
            <w:tcW w:w="1242" w:type="dxa"/>
            <w:vAlign w:val="center"/>
          </w:tcPr>
          <w:p w14:paraId="41168335" w14:textId="77777777" w:rsidR="0051780C" w:rsidRPr="00552334" w:rsidRDefault="0051780C" w:rsidP="00A573C4">
            <w:pPr>
              <w:pStyle w:val="FSTableText"/>
              <w:rPr>
                <w:b/>
                <w:lang w:val="en-GB"/>
              </w:rPr>
            </w:pPr>
            <w:r w:rsidRPr="00552334">
              <w:rPr>
                <w:b/>
                <w:lang w:val="en-GB"/>
              </w:rPr>
              <w:t>Category</w:t>
            </w:r>
          </w:p>
        </w:tc>
        <w:tc>
          <w:tcPr>
            <w:tcW w:w="1134" w:type="dxa"/>
            <w:vAlign w:val="center"/>
          </w:tcPr>
          <w:p w14:paraId="17B45CC7" w14:textId="77777777" w:rsidR="0051780C" w:rsidRPr="00552334" w:rsidRDefault="0051780C" w:rsidP="00A573C4">
            <w:pPr>
              <w:pStyle w:val="FSTableText"/>
              <w:rPr>
                <w:b/>
                <w:lang w:val="en-GB"/>
              </w:rPr>
            </w:pPr>
            <w:r w:rsidRPr="00552334">
              <w:rPr>
                <w:b/>
                <w:lang w:val="en-GB"/>
              </w:rPr>
              <w:t>Standard</w:t>
            </w:r>
          </w:p>
        </w:tc>
        <w:tc>
          <w:tcPr>
            <w:tcW w:w="1276" w:type="dxa"/>
            <w:vAlign w:val="center"/>
          </w:tcPr>
          <w:p w14:paraId="7D57ED92" w14:textId="77777777" w:rsidR="0051780C" w:rsidRPr="00552334" w:rsidRDefault="0051780C" w:rsidP="00A573C4">
            <w:pPr>
              <w:pStyle w:val="FSTableText"/>
              <w:jc w:val="center"/>
              <w:rPr>
                <w:b/>
                <w:lang w:val="en-GB"/>
              </w:rPr>
            </w:pPr>
            <w:r w:rsidRPr="00552334">
              <w:rPr>
                <w:b/>
                <w:lang w:val="en-GB"/>
              </w:rPr>
              <w:t>MPL</w:t>
            </w:r>
          </w:p>
        </w:tc>
        <w:tc>
          <w:tcPr>
            <w:tcW w:w="4394" w:type="dxa"/>
            <w:vAlign w:val="center"/>
          </w:tcPr>
          <w:p w14:paraId="3141EB7B" w14:textId="77777777" w:rsidR="0051780C" w:rsidRPr="00E10D8F" w:rsidRDefault="0051780C" w:rsidP="00A573C4">
            <w:pPr>
              <w:pStyle w:val="FSTableText"/>
              <w:rPr>
                <w:b/>
                <w:lang w:val="en-GB"/>
              </w:rPr>
            </w:pPr>
            <w:r w:rsidRPr="00552334">
              <w:rPr>
                <w:b/>
                <w:lang w:val="en-GB"/>
              </w:rPr>
              <w:t>Classification Name</w:t>
            </w:r>
          </w:p>
        </w:tc>
        <w:tc>
          <w:tcPr>
            <w:tcW w:w="1276" w:type="dxa"/>
            <w:vAlign w:val="center"/>
          </w:tcPr>
          <w:p w14:paraId="48F3A7AC" w14:textId="77777777" w:rsidR="0051780C" w:rsidRPr="00552334" w:rsidRDefault="0051780C" w:rsidP="00A573C4">
            <w:pPr>
              <w:pStyle w:val="FSTableText"/>
              <w:rPr>
                <w:b/>
                <w:lang w:val="en-GB"/>
              </w:rPr>
            </w:pPr>
            <w:r w:rsidRPr="00552334">
              <w:rPr>
                <w:b/>
                <w:lang w:val="en-GB"/>
              </w:rPr>
              <w:t>Code</w:t>
            </w:r>
          </w:p>
        </w:tc>
      </w:tr>
      <w:tr w:rsidR="0051780C" w:rsidRPr="00552334" w14:paraId="68F427B7" w14:textId="77777777" w:rsidTr="00A573C4">
        <w:trPr>
          <w:trHeight w:val="283"/>
        </w:trPr>
        <w:tc>
          <w:tcPr>
            <w:tcW w:w="1242" w:type="dxa"/>
            <w:vMerge w:val="restart"/>
            <w:vAlign w:val="center"/>
          </w:tcPr>
          <w:p w14:paraId="7757D6DD" w14:textId="77777777" w:rsidR="0051780C" w:rsidRPr="00552334" w:rsidRDefault="0051780C" w:rsidP="00A573C4">
            <w:pPr>
              <w:pStyle w:val="FSTableText"/>
              <w:rPr>
                <w:lang w:val="en-GB"/>
              </w:rPr>
            </w:pPr>
            <w:r w:rsidRPr="00552334">
              <w:rPr>
                <w:lang w:val="en-GB" w:eastAsia="en-AU" w:bidi="ar-SA"/>
              </w:rPr>
              <w:t>Breakfast cereals</w:t>
            </w:r>
          </w:p>
          <w:p w14:paraId="7FDAD19F" w14:textId="77777777" w:rsidR="0051780C" w:rsidRPr="00552334" w:rsidRDefault="0051780C" w:rsidP="00A573C4">
            <w:pPr>
              <w:pStyle w:val="FSTableText"/>
              <w:rPr>
                <w:lang w:val="en-GB"/>
              </w:rPr>
            </w:pPr>
          </w:p>
        </w:tc>
        <w:tc>
          <w:tcPr>
            <w:tcW w:w="1134" w:type="dxa"/>
            <w:vMerge w:val="restart"/>
            <w:vAlign w:val="center"/>
          </w:tcPr>
          <w:p w14:paraId="08A8ABD7" w14:textId="77777777" w:rsidR="0051780C" w:rsidRPr="00552334" w:rsidRDefault="0051780C" w:rsidP="00A573C4">
            <w:pPr>
              <w:pStyle w:val="FSTableText"/>
              <w:rPr>
                <w:lang w:val="en-GB"/>
              </w:rPr>
            </w:pPr>
            <w:r w:rsidRPr="00552334">
              <w:rPr>
                <w:lang w:val="en-GB" w:eastAsia="en-AU" w:bidi="ar-SA"/>
              </w:rPr>
              <w:t>Schedule 25</w:t>
            </w:r>
          </w:p>
          <w:p w14:paraId="49D4F9F2" w14:textId="77777777" w:rsidR="0051780C" w:rsidRPr="00552334" w:rsidRDefault="0051780C" w:rsidP="00A573C4">
            <w:pPr>
              <w:pStyle w:val="FSTableText"/>
              <w:rPr>
                <w:lang w:val="en-GB"/>
              </w:rPr>
            </w:pPr>
          </w:p>
        </w:tc>
        <w:tc>
          <w:tcPr>
            <w:tcW w:w="1276" w:type="dxa"/>
            <w:vMerge w:val="restart"/>
            <w:vAlign w:val="center"/>
          </w:tcPr>
          <w:p w14:paraId="0A85A484" w14:textId="77777777" w:rsidR="0051780C" w:rsidRPr="00E10D8F" w:rsidRDefault="0051780C" w:rsidP="00A573C4">
            <w:pPr>
              <w:pStyle w:val="FSTableText"/>
              <w:rPr>
                <w:sz w:val="18"/>
                <w:szCs w:val="18"/>
                <w:lang w:val="en-GB"/>
              </w:rPr>
            </w:pPr>
            <w:r w:rsidRPr="00552334">
              <w:rPr>
                <w:sz w:val="18"/>
                <w:szCs w:val="18"/>
                <w:lang w:val="en-GB" w:eastAsia="en-AU" w:bidi="ar-SA"/>
              </w:rPr>
              <w:t>19 g/kg</w:t>
            </w:r>
          </w:p>
          <w:p w14:paraId="44050923" w14:textId="77777777" w:rsidR="0051780C" w:rsidRPr="00552334" w:rsidRDefault="0051780C" w:rsidP="00A573C4">
            <w:pPr>
              <w:pStyle w:val="FSTableText"/>
              <w:rPr>
                <w:sz w:val="18"/>
                <w:szCs w:val="18"/>
                <w:lang w:val="en-GB"/>
              </w:rPr>
            </w:pPr>
          </w:p>
        </w:tc>
        <w:tc>
          <w:tcPr>
            <w:tcW w:w="4394" w:type="dxa"/>
            <w:vAlign w:val="center"/>
          </w:tcPr>
          <w:p w14:paraId="103C4B80" w14:textId="77777777" w:rsidR="0051780C" w:rsidRPr="00552334" w:rsidRDefault="0051780C" w:rsidP="00A573C4">
            <w:pPr>
              <w:pStyle w:val="FSTableText"/>
              <w:rPr>
                <w:sz w:val="18"/>
                <w:szCs w:val="18"/>
                <w:lang w:val="en-GB"/>
              </w:rPr>
            </w:pPr>
            <w:r w:rsidRPr="00552334">
              <w:rPr>
                <w:sz w:val="18"/>
                <w:szCs w:val="18"/>
                <w:lang w:val="en-GB"/>
              </w:rPr>
              <w:t>Breakfast biscuits &amp; flakes, choc/cocoa, PSE</w:t>
            </w:r>
          </w:p>
        </w:tc>
        <w:tc>
          <w:tcPr>
            <w:tcW w:w="1276" w:type="dxa"/>
            <w:vAlign w:val="center"/>
          </w:tcPr>
          <w:p w14:paraId="7429216C" w14:textId="77777777" w:rsidR="0051780C" w:rsidRPr="00552334" w:rsidRDefault="0051780C" w:rsidP="00A573C4">
            <w:pPr>
              <w:pStyle w:val="FSTableText"/>
              <w:rPr>
                <w:lang w:val="en-GB"/>
              </w:rPr>
            </w:pPr>
            <w:r w:rsidRPr="00552334">
              <w:rPr>
                <w:lang w:val="en-GB"/>
              </w:rPr>
              <w:t>6.3.2.1.1</w:t>
            </w:r>
          </w:p>
        </w:tc>
      </w:tr>
      <w:tr w:rsidR="0051780C" w:rsidRPr="00552334" w14:paraId="5BDB1573" w14:textId="77777777" w:rsidTr="00A573C4">
        <w:trPr>
          <w:trHeight w:val="283"/>
        </w:trPr>
        <w:tc>
          <w:tcPr>
            <w:tcW w:w="1242" w:type="dxa"/>
            <w:vMerge/>
            <w:vAlign w:val="center"/>
          </w:tcPr>
          <w:p w14:paraId="79A47E81" w14:textId="77777777" w:rsidR="0051780C" w:rsidRPr="00552334" w:rsidRDefault="0051780C" w:rsidP="00A573C4">
            <w:pPr>
              <w:pStyle w:val="FSTableText"/>
              <w:rPr>
                <w:lang w:val="en-GB"/>
              </w:rPr>
            </w:pPr>
          </w:p>
        </w:tc>
        <w:tc>
          <w:tcPr>
            <w:tcW w:w="1134" w:type="dxa"/>
            <w:vMerge/>
            <w:vAlign w:val="center"/>
          </w:tcPr>
          <w:p w14:paraId="369611B3" w14:textId="77777777" w:rsidR="0051780C" w:rsidRPr="00552334" w:rsidRDefault="0051780C" w:rsidP="00A573C4">
            <w:pPr>
              <w:pStyle w:val="FSTableText"/>
              <w:rPr>
                <w:lang w:val="en-GB"/>
              </w:rPr>
            </w:pPr>
          </w:p>
        </w:tc>
        <w:tc>
          <w:tcPr>
            <w:tcW w:w="1276" w:type="dxa"/>
            <w:vMerge/>
            <w:vAlign w:val="center"/>
          </w:tcPr>
          <w:p w14:paraId="3631DD04" w14:textId="77777777" w:rsidR="0051780C" w:rsidRPr="00552334" w:rsidRDefault="0051780C" w:rsidP="00A573C4">
            <w:pPr>
              <w:pStyle w:val="FSTableText"/>
              <w:rPr>
                <w:sz w:val="18"/>
                <w:szCs w:val="18"/>
                <w:lang w:val="en-GB"/>
              </w:rPr>
            </w:pPr>
          </w:p>
        </w:tc>
        <w:tc>
          <w:tcPr>
            <w:tcW w:w="4394" w:type="dxa"/>
            <w:vAlign w:val="center"/>
          </w:tcPr>
          <w:p w14:paraId="31F8A5E4" w14:textId="77777777" w:rsidR="0051780C" w:rsidRPr="00552334" w:rsidRDefault="0051780C" w:rsidP="00A573C4">
            <w:pPr>
              <w:pStyle w:val="FSTableText"/>
              <w:rPr>
                <w:sz w:val="18"/>
                <w:szCs w:val="18"/>
                <w:lang w:val="en-GB"/>
              </w:rPr>
            </w:pPr>
            <w:r w:rsidRPr="00552334">
              <w:rPr>
                <w:sz w:val="18"/>
                <w:szCs w:val="18"/>
                <w:lang w:val="en-GB"/>
              </w:rPr>
              <w:t>Breakfast biscuits &amp; flakes, no choc/cocoa, PSE</w:t>
            </w:r>
          </w:p>
        </w:tc>
        <w:tc>
          <w:tcPr>
            <w:tcW w:w="1276" w:type="dxa"/>
            <w:vAlign w:val="center"/>
          </w:tcPr>
          <w:p w14:paraId="2B00E197" w14:textId="77777777" w:rsidR="0051780C" w:rsidRPr="00552334" w:rsidRDefault="0051780C" w:rsidP="00A573C4">
            <w:pPr>
              <w:pStyle w:val="FSTableText"/>
              <w:rPr>
                <w:lang w:val="en-GB"/>
              </w:rPr>
            </w:pPr>
            <w:r w:rsidRPr="00552334">
              <w:rPr>
                <w:lang w:val="en-GB"/>
              </w:rPr>
              <w:t>6.3.2.2.1</w:t>
            </w:r>
          </w:p>
        </w:tc>
      </w:tr>
      <w:tr w:rsidR="0051780C" w:rsidRPr="00552334" w14:paraId="3F317BEF" w14:textId="77777777" w:rsidTr="00A573C4">
        <w:trPr>
          <w:trHeight w:val="283"/>
        </w:trPr>
        <w:tc>
          <w:tcPr>
            <w:tcW w:w="1242" w:type="dxa"/>
            <w:vMerge/>
            <w:vAlign w:val="center"/>
          </w:tcPr>
          <w:p w14:paraId="7ED2D46F" w14:textId="77777777" w:rsidR="0051780C" w:rsidRPr="00552334" w:rsidRDefault="0051780C" w:rsidP="00A573C4">
            <w:pPr>
              <w:pStyle w:val="FSTableText"/>
              <w:rPr>
                <w:lang w:val="en-GB"/>
              </w:rPr>
            </w:pPr>
          </w:p>
        </w:tc>
        <w:tc>
          <w:tcPr>
            <w:tcW w:w="1134" w:type="dxa"/>
            <w:vMerge/>
            <w:vAlign w:val="center"/>
          </w:tcPr>
          <w:p w14:paraId="792CA998" w14:textId="77777777" w:rsidR="0051780C" w:rsidRPr="00552334" w:rsidRDefault="0051780C" w:rsidP="00A573C4">
            <w:pPr>
              <w:pStyle w:val="FSTableText"/>
              <w:rPr>
                <w:lang w:val="en-GB"/>
              </w:rPr>
            </w:pPr>
          </w:p>
        </w:tc>
        <w:tc>
          <w:tcPr>
            <w:tcW w:w="1276" w:type="dxa"/>
            <w:vMerge/>
            <w:vAlign w:val="center"/>
          </w:tcPr>
          <w:p w14:paraId="4173356A" w14:textId="77777777" w:rsidR="0051780C" w:rsidRPr="00552334" w:rsidRDefault="0051780C" w:rsidP="00A573C4">
            <w:pPr>
              <w:pStyle w:val="FSTableText"/>
              <w:rPr>
                <w:sz w:val="18"/>
                <w:szCs w:val="18"/>
                <w:lang w:val="en-GB"/>
              </w:rPr>
            </w:pPr>
          </w:p>
        </w:tc>
        <w:tc>
          <w:tcPr>
            <w:tcW w:w="4394" w:type="dxa"/>
            <w:vAlign w:val="center"/>
          </w:tcPr>
          <w:p w14:paraId="7BD4ED75" w14:textId="77777777" w:rsidR="0051780C" w:rsidRPr="00552334" w:rsidRDefault="0051780C" w:rsidP="00A573C4">
            <w:pPr>
              <w:pStyle w:val="FSTableText"/>
              <w:rPr>
                <w:sz w:val="18"/>
                <w:szCs w:val="18"/>
                <w:lang w:val="en-GB"/>
              </w:rPr>
            </w:pPr>
            <w:r w:rsidRPr="00552334">
              <w:rPr>
                <w:color w:val="000000"/>
                <w:sz w:val="18"/>
                <w:szCs w:val="18"/>
                <w:lang w:val="en-GB"/>
              </w:rPr>
              <w:t>Puffed &amp;/or extruded cereal, choc/cocoa, PSE</w:t>
            </w:r>
          </w:p>
        </w:tc>
        <w:tc>
          <w:tcPr>
            <w:tcW w:w="1276" w:type="dxa"/>
            <w:vAlign w:val="center"/>
          </w:tcPr>
          <w:p w14:paraId="32A6AC6C" w14:textId="77777777" w:rsidR="0051780C" w:rsidRPr="00552334" w:rsidRDefault="0051780C" w:rsidP="00A573C4">
            <w:pPr>
              <w:pStyle w:val="FSTableText"/>
              <w:rPr>
                <w:lang w:val="en-GB"/>
              </w:rPr>
            </w:pPr>
            <w:r w:rsidRPr="00552334">
              <w:rPr>
                <w:color w:val="000000"/>
                <w:lang w:val="en-GB"/>
              </w:rPr>
              <w:t>6.3.1.1.1</w:t>
            </w:r>
          </w:p>
        </w:tc>
      </w:tr>
      <w:tr w:rsidR="0051780C" w:rsidRPr="00552334" w14:paraId="32C3E442" w14:textId="77777777" w:rsidTr="00A573C4">
        <w:trPr>
          <w:trHeight w:val="283"/>
        </w:trPr>
        <w:tc>
          <w:tcPr>
            <w:tcW w:w="1242" w:type="dxa"/>
            <w:vMerge/>
            <w:vAlign w:val="center"/>
          </w:tcPr>
          <w:p w14:paraId="686C4B5A" w14:textId="77777777" w:rsidR="0051780C" w:rsidRPr="00552334" w:rsidRDefault="0051780C" w:rsidP="00A573C4">
            <w:pPr>
              <w:pStyle w:val="FSTableText"/>
              <w:rPr>
                <w:lang w:val="en-GB"/>
              </w:rPr>
            </w:pPr>
          </w:p>
        </w:tc>
        <w:tc>
          <w:tcPr>
            <w:tcW w:w="1134" w:type="dxa"/>
            <w:vMerge/>
            <w:vAlign w:val="center"/>
          </w:tcPr>
          <w:p w14:paraId="1D939922" w14:textId="77777777" w:rsidR="0051780C" w:rsidRPr="00552334" w:rsidRDefault="0051780C" w:rsidP="00A573C4">
            <w:pPr>
              <w:pStyle w:val="FSTableText"/>
              <w:rPr>
                <w:lang w:val="en-GB"/>
              </w:rPr>
            </w:pPr>
          </w:p>
        </w:tc>
        <w:tc>
          <w:tcPr>
            <w:tcW w:w="1276" w:type="dxa"/>
            <w:vMerge/>
            <w:vAlign w:val="center"/>
          </w:tcPr>
          <w:p w14:paraId="4266743C" w14:textId="77777777" w:rsidR="0051780C" w:rsidRPr="00552334" w:rsidRDefault="0051780C" w:rsidP="00A573C4">
            <w:pPr>
              <w:pStyle w:val="FSTableText"/>
              <w:rPr>
                <w:sz w:val="18"/>
                <w:szCs w:val="18"/>
                <w:lang w:val="en-GB"/>
              </w:rPr>
            </w:pPr>
          </w:p>
        </w:tc>
        <w:tc>
          <w:tcPr>
            <w:tcW w:w="4394" w:type="dxa"/>
            <w:vAlign w:val="center"/>
          </w:tcPr>
          <w:p w14:paraId="6F85F531" w14:textId="77777777" w:rsidR="0051780C" w:rsidRPr="00552334" w:rsidRDefault="0051780C" w:rsidP="00A573C4">
            <w:pPr>
              <w:pStyle w:val="FSTableText"/>
              <w:rPr>
                <w:sz w:val="18"/>
                <w:szCs w:val="18"/>
                <w:lang w:val="en-GB"/>
              </w:rPr>
            </w:pPr>
            <w:r w:rsidRPr="00552334">
              <w:rPr>
                <w:color w:val="000000"/>
                <w:sz w:val="18"/>
                <w:szCs w:val="18"/>
                <w:lang w:val="en-GB"/>
              </w:rPr>
              <w:t>Puffed &amp;/or extruded cereal, no choc/cocoa, PSE</w:t>
            </w:r>
          </w:p>
        </w:tc>
        <w:tc>
          <w:tcPr>
            <w:tcW w:w="1276" w:type="dxa"/>
            <w:vAlign w:val="center"/>
          </w:tcPr>
          <w:p w14:paraId="011C3903" w14:textId="77777777" w:rsidR="0051780C" w:rsidRPr="00552334" w:rsidRDefault="0051780C" w:rsidP="00A573C4">
            <w:pPr>
              <w:pStyle w:val="FSTableText"/>
              <w:rPr>
                <w:lang w:val="en-GB"/>
              </w:rPr>
            </w:pPr>
            <w:r w:rsidRPr="00552334">
              <w:rPr>
                <w:color w:val="000000"/>
                <w:lang w:val="en-GB"/>
              </w:rPr>
              <w:t>6.3.1.2.1</w:t>
            </w:r>
          </w:p>
        </w:tc>
      </w:tr>
      <w:tr w:rsidR="0051780C" w:rsidRPr="00552334" w14:paraId="4CCB9AC6" w14:textId="77777777" w:rsidTr="00A573C4">
        <w:trPr>
          <w:trHeight w:val="283"/>
        </w:trPr>
        <w:tc>
          <w:tcPr>
            <w:tcW w:w="1242" w:type="dxa"/>
            <w:vMerge w:val="restart"/>
            <w:vAlign w:val="center"/>
          </w:tcPr>
          <w:p w14:paraId="20188C59" w14:textId="77777777" w:rsidR="0051780C" w:rsidRPr="00552334" w:rsidRDefault="0051780C" w:rsidP="00A573C4">
            <w:pPr>
              <w:pStyle w:val="FSTableText"/>
              <w:rPr>
                <w:lang w:val="en-GB"/>
              </w:rPr>
            </w:pPr>
            <w:r w:rsidRPr="00552334">
              <w:rPr>
                <w:lang w:val="en-GB" w:eastAsia="en-AU" w:bidi="ar-SA"/>
              </w:rPr>
              <w:t>Yoghurt</w:t>
            </w:r>
          </w:p>
          <w:p w14:paraId="68CD058A" w14:textId="77777777" w:rsidR="0051780C" w:rsidRPr="00552334" w:rsidRDefault="0051780C" w:rsidP="00A573C4">
            <w:pPr>
              <w:pStyle w:val="FSTableText"/>
              <w:rPr>
                <w:lang w:val="en-GB"/>
              </w:rPr>
            </w:pPr>
          </w:p>
        </w:tc>
        <w:tc>
          <w:tcPr>
            <w:tcW w:w="1134" w:type="dxa"/>
            <w:vMerge w:val="restart"/>
            <w:vAlign w:val="center"/>
          </w:tcPr>
          <w:p w14:paraId="1C5A611B" w14:textId="0A268651" w:rsidR="0051780C" w:rsidRPr="00552334" w:rsidRDefault="0051780C" w:rsidP="00A573C4">
            <w:pPr>
              <w:pStyle w:val="FSTableText"/>
              <w:rPr>
                <w:lang w:val="en-GB"/>
              </w:rPr>
            </w:pPr>
            <w:r>
              <w:rPr>
                <w:lang w:val="en-GB" w:eastAsia="en-AU" w:bidi="ar-SA"/>
              </w:rPr>
              <w:t xml:space="preserve">section </w:t>
            </w:r>
            <w:r w:rsidRPr="00552334">
              <w:rPr>
                <w:lang w:val="en-GB" w:eastAsia="en-AU" w:bidi="ar-SA"/>
              </w:rPr>
              <w:t>2.5.3</w:t>
            </w:r>
            <w:r>
              <w:rPr>
                <w:lang w:val="en-GB" w:eastAsia="en-AU" w:bidi="ar-SA"/>
              </w:rPr>
              <w:t>—</w:t>
            </w:r>
            <w:r w:rsidRPr="00552334">
              <w:rPr>
                <w:lang w:val="en-GB" w:eastAsia="en-AU" w:bidi="ar-SA"/>
              </w:rPr>
              <w:t>5</w:t>
            </w:r>
          </w:p>
          <w:p w14:paraId="524BFC22" w14:textId="77777777" w:rsidR="0051780C" w:rsidRPr="00552334" w:rsidRDefault="0051780C" w:rsidP="00A573C4">
            <w:pPr>
              <w:pStyle w:val="FSTableText"/>
              <w:rPr>
                <w:lang w:val="en-GB"/>
              </w:rPr>
            </w:pPr>
          </w:p>
        </w:tc>
        <w:tc>
          <w:tcPr>
            <w:tcW w:w="1276" w:type="dxa"/>
            <w:vMerge w:val="restart"/>
            <w:vAlign w:val="center"/>
          </w:tcPr>
          <w:p w14:paraId="48148E73" w14:textId="77777777" w:rsidR="0051780C" w:rsidRPr="00E10D8F" w:rsidRDefault="0051780C" w:rsidP="00A573C4">
            <w:pPr>
              <w:pStyle w:val="FSTableText"/>
              <w:rPr>
                <w:sz w:val="18"/>
                <w:szCs w:val="18"/>
                <w:lang w:val="en-GB"/>
              </w:rPr>
            </w:pPr>
            <w:r w:rsidRPr="00552334">
              <w:rPr>
                <w:sz w:val="18"/>
                <w:szCs w:val="18"/>
                <w:lang w:val="en-GB" w:eastAsia="en-AU" w:bidi="ar-SA"/>
              </w:rPr>
              <w:t>1.0 g/200 g package</w:t>
            </w:r>
          </w:p>
          <w:p w14:paraId="57A9B368" w14:textId="77777777" w:rsidR="0051780C" w:rsidRPr="00552334" w:rsidRDefault="0051780C" w:rsidP="00A573C4">
            <w:pPr>
              <w:pStyle w:val="FSTableText"/>
              <w:rPr>
                <w:sz w:val="18"/>
                <w:szCs w:val="18"/>
                <w:lang w:val="en-GB"/>
              </w:rPr>
            </w:pPr>
            <w:r w:rsidRPr="00552334">
              <w:rPr>
                <w:sz w:val="18"/>
                <w:szCs w:val="18"/>
                <w:lang w:val="en-GB"/>
              </w:rPr>
              <w:t>(5 g/kg)</w:t>
            </w:r>
          </w:p>
        </w:tc>
        <w:tc>
          <w:tcPr>
            <w:tcW w:w="4394" w:type="dxa"/>
            <w:vAlign w:val="center"/>
          </w:tcPr>
          <w:p w14:paraId="2454909F"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flav, froz, low/skim, PSE</w:t>
            </w:r>
          </w:p>
        </w:tc>
        <w:tc>
          <w:tcPr>
            <w:tcW w:w="1276" w:type="dxa"/>
            <w:vAlign w:val="center"/>
          </w:tcPr>
          <w:p w14:paraId="5B3CF68E" w14:textId="77777777" w:rsidR="0051780C" w:rsidRPr="00552334" w:rsidRDefault="0051780C" w:rsidP="00A573C4">
            <w:pPr>
              <w:pStyle w:val="FSTableText"/>
              <w:rPr>
                <w:lang w:val="en-GB"/>
              </w:rPr>
            </w:pPr>
            <w:r w:rsidRPr="00552334">
              <w:rPr>
                <w:color w:val="000000"/>
                <w:lang w:val="en-GB"/>
              </w:rPr>
              <w:t>1.2.2.5.4.2</w:t>
            </w:r>
          </w:p>
        </w:tc>
      </w:tr>
      <w:tr w:rsidR="0051780C" w:rsidRPr="00552334" w14:paraId="0F720246" w14:textId="77777777" w:rsidTr="00A573C4">
        <w:trPr>
          <w:trHeight w:val="283"/>
        </w:trPr>
        <w:tc>
          <w:tcPr>
            <w:tcW w:w="1242" w:type="dxa"/>
            <w:vMerge/>
            <w:vAlign w:val="center"/>
          </w:tcPr>
          <w:p w14:paraId="39FD7B11" w14:textId="77777777" w:rsidR="0051780C" w:rsidRPr="00552334" w:rsidRDefault="0051780C" w:rsidP="00A573C4">
            <w:pPr>
              <w:pStyle w:val="FSTableText"/>
              <w:rPr>
                <w:lang w:val="en-GB" w:eastAsia="en-AU" w:bidi="ar-SA"/>
              </w:rPr>
            </w:pPr>
          </w:p>
        </w:tc>
        <w:tc>
          <w:tcPr>
            <w:tcW w:w="1134" w:type="dxa"/>
            <w:vMerge/>
            <w:vAlign w:val="center"/>
          </w:tcPr>
          <w:p w14:paraId="4C670C8C" w14:textId="77777777" w:rsidR="0051780C" w:rsidRPr="00552334" w:rsidRDefault="0051780C" w:rsidP="00A573C4">
            <w:pPr>
              <w:pStyle w:val="FSTableText"/>
              <w:rPr>
                <w:lang w:val="en-GB" w:eastAsia="en-AU" w:bidi="ar-SA"/>
              </w:rPr>
            </w:pPr>
          </w:p>
        </w:tc>
        <w:tc>
          <w:tcPr>
            <w:tcW w:w="1276" w:type="dxa"/>
            <w:vMerge/>
            <w:vAlign w:val="center"/>
          </w:tcPr>
          <w:p w14:paraId="28593ABE" w14:textId="77777777" w:rsidR="0051780C" w:rsidRPr="00552334" w:rsidRDefault="0051780C" w:rsidP="00A573C4">
            <w:pPr>
              <w:pStyle w:val="FSTableText"/>
              <w:rPr>
                <w:sz w:val="18"/>
                <w:szCs w:val="18"/>
                <w:lang w:val="en-GB" w:eastAsia="en-AU" w:bidi="ar-SA"/>
              </w:rPr>
            </w:pPr>
          </w:p>
        </w:tc>
        <w:tc>
          <w:tcPr>
            <w:tcW w:w="4394" w:type="dxa"/>
            <w:vAlign w:val="center"/>
          </w:tcPr>
          <w:p w14:paraId="022F4360"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choc, PSE</w:t>
            </w:r>
          </w:p>
        </w:tc>
        <w:tc>
          <w:tcPr>
            <w:tcW w:w="1276" w:type="dxa"/>
            <w:vAlign w:val="center"/>
          </w:tcPr>
          <w:p w14:paraId="6A385DC3" w14:textId="77777777" w:rsidR="0051780C" w:rsidRPr="00552334" w:rsidRDefault="0051780C" w:rsidP="00A573C4">
            <w:pPr>
              <w:pStyle w:val="FSTableText"/>
              <w:rPr>
                <w:lang w:val="en-GB"/>
              </w:rPr>
            </w:pPr>
            <w:r w:rsidRPr="00552334">
              <w:rPr>
                <w:color w:val="000000"/>
                <w:lang w:val="en-GB"/>
              </w:rPr>
              <w:t>1.2.2.4.1.2</w:t>
            </w:r>
          </w:p>
        </w:tc>
      </w:tr>
      <w:tr w:rsidR="0051780C" w:rsidRPr="00552334" w14:paraId="6735A80F" w14:textId="77777777" w:rsidTr="00A573C4">
        <w:trPr>
          <w:trHeight w:val="283"/>
        </w:trPr>
        <w:tc>
          <w:tcPr>
            <w:tcW w:w="1242" w:type="dxa"/>
            <w:vMerge/>
            <w:vAlign w:val="center"/>
          </w:tcPr>
          <w:p w14:paraId="23CDE849" w14:textId="77777777" w:rsidR="0051780C" w:rsidRPr="00552334" w:rsidRDefault="0051780C" w:rsidP="00A573C4">
            <w:pPr>
              <w:pStyle w:val="FSTableText"/>
              <w:rPr>
                <w:lang w:val="en-GB" w:eastAsia="en-AU" w:bidi="ar-SA"/>
              </w:rPr>
            </w:pPr>
          </w:p>
        </w:tc>
        <w:tc>
          <w:tcPr>
            <w:tcW w:w="1134" w:type="dxa"/>
            <w:vMerge/>
            <w:vAlign w:val="center"/>
          </w:tcPr>
          <w:p w14:paraId="2D54FC7B" w14:textId="77777777" w:rsidR="0051780C" w:rsidRPr="00552334" w:rsidRDefault="0051780C" w:rsidP="00A573C4">
            <w:pPr>
              <w:pStyle w:val="FSTableText"/>
              <w:rPr>
                <w:lang w:val="en-GB" w:eastAsia="en-AU" w:bidi="ar-SA"/>
              </w:rPr>
            </w:pPr>
          </w:p>
        </w:tc>
        <w:tc>
          <w:tcPr>
            <w:tcW w:w="1276" w:type="dxa"/>
            <w:vMerge/>
            <w:vAlign w:val="center"/>
          </w:tcPr>
          <w:p w14:paraId="3066CADC" w14:textId="77777777" w:rsidR="0051780C" w:rsidRPr="00552334" w:rsidRDefault="0051780C" w:rsidP="00A573C4">
            <w:pPr>
              <w:pStyle w:val="FSTableText"/>
              <w:rPr>
                <w:sz w:val="18"/>
                <w:szCs w:val="18"/>
                <w:lang w:val="en-GB" w:eastAsia="en-AU" w:bidi="ar-SA"/>
              </w:rPr>
            </w:pPr>
          </w:p>
        </w:tc>
        <w:tc>
          <w:tcPr>
            <w:tcW w:w="4394" w:type="dxa"/>
            <w:vAlign w:val="center"/>
          </w:tcPr>
          <w:p w14:paraId="72811B08"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coffee, PSE</w:t>
            </w:r>
          </w:p>
        </w:tc>
        <w:tc>
          <w:tcPr>
            <w:tcW w:w="1276" w:type="dxa"/>
            <w:vAlign w:val="center"/>
          </w:tcPr>
          <w:p w14:paraId="5DF6FC30" w14:textId="77777777" w:rsidR="0051780C" w:rsidRPr="00552334" w:rsidRDefault="0051780C" w:rsidP="00A573C4">
            <w:pPr>
              <w:pStyle w:val="FSTableText"/>
              <w:rPr>
                <w:lang w:val="en-GB"/>
              </w:rPr>
            </w:pPr>
            <w:r w:rsidRPr="00552334">
              <w:rPr>
                <w:color w:val="000000"/>
                <w:lang w:val="en-GB"/>
              </w:rPr>
              <w:t>1.2.2.4.2.2</w:t>
            </w:r>
          </w:p>
        </w:tc>
      </w:tr>
      <w:tr w:rsidR="0051780C" w:rsidRPr="00552334" w14:paraId="2903A0C7" w14:textId="77777777" w:rsidTr="00A573C4">
        <w:trPr>
          <w:trHeight w:val="283"/>
        </w:trPr>
        <w:tc>
          <w:tcPr>
            <w:tcW w:w="1242" w:type="dxa"/>
            <w:vMerge/>
            <w:vAlign w:val="center"/>
          </w:tcPr>
          <w:p w14:paraId="107D3380" w14:textId="77777777" w:rsidR="0051780C" w:rsidRPr="00552334" w:rsidRDefault="0051780C" w:rsidP="00A573C4">
            <w:pPr>
              <w:pStyle w:val="FSTableText"/>
              <w:rPr>
                <w:lang w:val="en-GB" w:eastAsia="en-AU" w:bidi="ar-SA"/>
              </w:rPr>
            </w:pPr>
          </w:p>
        </w:tc>
        <w:tc>
          <w:tcPr>
            <w:tcW w:w="1134" w:type="dxa"/>
            <w:vMerge/>
            <w:vAlign w:val="center"/>
          </w:tcPr>
          <w:p w14:paraId="2E2D6621" w14:textId="77777777" w:rsidR="0051780C" w:rsidRPr="00552334" w:rsidRDefault="0051780C" w:rsidP="00A573C4">
            <w:pPr>
              <w:pStyle w:val="FSTableText"/>
              <w:rPr>
                <w:lang w:val="en-GB" w:eastAsia="en-AU" w:bidi="ar-SA"/>
              </w:rPr>
            </w:pPr>
          </w:p>
        </w:tc>
        <w:tc>
          <w:tcPr>
            <w:tcW w:w="1276" w:type="dxa"/>
            <w:vMerge/>
            <w:vAlign w:val="center"/>
          </w:tcPr>
          <w:p w14:paraId="1EB3D569" w14:textId="77777777" w:rsidR="0051780C" w:rsidRPr="00552334" w:rsidRDefault="0051780C" w:rsidP="00A573C4">
            <w:pPr>
              <w:pStyle w:val="FSTableText"/>
              <w:rPr>
                <w:sz w:val="18"/>
                <w:szCs w:val="18"/>
                <w:lang w:val="en-GB" w:eastAsia="en-AU" w:bidi="ar-SA"/>
              </w:rPr>
            </w:pPr>
          </w:p>
        </w:tc>
        <w:tc>
          <w:tcPr>
            <w:tcW w:w="4394" w:type="dxa"/>
            <w:vAlign w:val="center"/>
          </w:tcPr>
          <w:p w14:paraId="740ED351"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fruit, PSE</w:t>
            </w:r>
          </w:p>
        </w:tc>
        <w:tc>
          <w:tcPr>
            <w:tcW w:w="1276" w:type="dxa"/>
            <w:vAlign w:val="center"/>
          </w:tcPr>
          <w:p w14:paraId="77CDB0C6" w14:textId="77777777" w:rsidR="0051780C" w:rsidRPr="00552334" w:rsidRDefault="0051780C" w:rsidP="00A573C4">
            <w:pPr>
              <w:pStyle w:val="FSTableText"/>
              <w:rPr>
                <w:lang w:val="en-GB"/>
              </w:rPr>
            </w:pPr>
            <w:r w:rsidRPr="00552334">
              <w:rPr>
                <w:color w:val="000000"/>
                <w:lang w:val="en-GB"/>
              </w:rPr>
              <w:t>1.2.2.4.3.2</w:t>
            </w:r>
          </w:p>
        </w:tc>
      </w:tr>
      <w:tr w:rsidR="0051780C" w:rsidRPr="00552334" w14:paraId="691FB41F" w14:textId="77777777" w:rsidTr="00A573C4">
        <w:trPr>
          <w:trHeight w:val="283"/>
        </w:trPr>
        <w:tc>
          <w:tcPr>
            <w:tcW w:w="1242" w:type="dxa"/>
            <w:vMerge/>
            <w:vAlign w:val="center"/>
          </w:tcPr>
          <w:p w14:paraId="0B3BCE15" w14:textId="77777777" w:rsidR="0051780C" w:rsidRPr="00552334" w:rsidRDefault="0051780C" w:rsidP="00A573C4">
            <w:pPr>
              <w:pStyle w:val="FSTableText"/>
              <w:rPr>
                <w:lang w:val="en-GB" w:eastAsia="en-AU" w:bidi="ar-SA"/>
              </w:rPr>
            </w:pPr>
          </w:p>
        </w:tc>
        <w:tc>
          <w:tcPr>
            <w:tcW w:w="1134" w:type="dxa"/>
            <w:vMerge/>
            <w:vAlign w:val="center"/>
          </w:tcPr>
          <w:p w14:paraId="105DC2AA" w14:textId="77777777" w:rsidR="0051780C" w:rsidRPr="00552334" w:rsidRDefault="0051780C" w:rsidP="00A573C4">
            <w:pPr>
              <w:pStyle w:val="FSTableText"/>
              <w:rPr>
                <w:lang w:val="en-GB" w:eastAsia="en-AU" w:bidi="ar-SA"/>
              </w:rPr>
            </w:pPr>
          </w:p>
        </w:tc>
        <w:tc>
          <w:tcPr>
            <w:tcW w:w="1276" w:type="dxa"/>
            <w:vMerge/>
            <w:vAlign w:val="center"/>
          </w:tcPr>
          <w:p w14:paraId="7801AEB9" w14:textId="77777777" w:rsidR="0051780C" w:rsidRPr="00552334" w:rsidRDefault="0051780C" w:rsidP="00A573C4">
            <w:pPr>
              <w:pStyle w:val="FSTableText"/>
              <w:rPr>
                <w:sz w:val="18"/>
                <w:szCs w:val="18"/>
                <w:lang w:val="en-GB" w:eastAsia="en-AU" w:bidi="ar-SA"/>
              </w:rPr>
            </w:pPr>
          </w:p>
        </w:tc>
        <w:tc>
          <w:tcPr>
            <w:tcW w:w="4394" w:type="dxa"/>
            <w:vAlign w:val="center"/>
          </w:tcPr>
          <w:p w14:paraId="7398ED89" w14:textId="77777777" w:rsidR="0051780C" w:rsidRPr="00552334" w:rsidRDefault="0051780C" w:rsidP="00A573C4">
            <w:pPr>
              <w:pStyle w:val="FSTableText"/>
              <w:rPr>
                <w:sz w:val="18"/>
                <w:szCs w:val="18"/>
                <w:lang w:val="en-GB"/>
              </w:rPr>
            </w:pPr>
            <w:r w:rsidRPr="00552334">
              <w:rPr>
                <w:color w:val="000000"/>
                <w:sz w:val="18"/>
                <w:szCs w:val="18"/>
                <w:lang w:val="en-GB"/>
              </w:rPr>
              <w:t>Ferm &amp; renn milk prod, low/skim, other flav, PSE</w:t>
            </w:r>
          </w:p>
        </w:tc>
        <w:tc>
          <w:tcPr>
            <w:tcW w:w="1276" w:type="dxa"/>
            <w:vAlign w:val="center"/>
          </w:tcPr>
          <w:p w14:paraId="4CDD840D" w14:textId="77777777" w:rsidR="0051780C" w:rsidRPr="00552334" w:rsidRDefault="0051780C" w:rsidP="00A573C4">
            <w:pPr>
              <w:pStyle w:val="FSTableText"/>
              <w:rPr>
                <w:lang w:val="en-GB"/>
              </w:rPr>
            </w:pPr>
            <w:r w:rsidRPr="00552334">
              <w:rPr>
                <w:color w:val="000000"/>
                <w:lang w:val="en-GB"/>
              </w:rPr>
              <w:t>1.2.2.4.4.2</w:t>
            </w:r>
          </w:p>
        </w:tc>
      </w:tr>
      <w:tr w:rsidR="0051780C" w:rsidRPr="00552334" w14:paraId="6C8CA7AC" w14:textId="77777777" w:rsidTr="00A573C4">
        <w:trPr>
          <w:trHeight w:val="283"/>
        </w:trPr>
        <w:tc>
          <w:tcPr>
            <w:tcW w:w="1242" w:type="dxa"/>
            <w:vMerge/>
            <w:vAlign w:val="center"/>
          </w:tcPr>
          <w:p w14:paraId="004DFB75" w14:textId="77777777" w:rsidR="0051780C" w:rsidRPr="00552334" w:rsidRDefault="0051780C" w:rsidP="00A573C4">
            <w:pPr>
              <w:pStyle w:val="FSTableText"/>
              <w:rPr>
                <w:lang w:val="en-GB" w:eastAsia="en-AU" w:bidi="ar-SA"/>
              </w:rPr>
            </w:pPr>
          </w:p>
        </w:tc>
        <w:tc>
          <w:tcPr>
            <w:tcW w:w="1134" w:type="dxa"/>
            <w:vMerge/>
            <w:vAlign w:val="center"/>
          </w:tcPr>
          <w:p w14:paraId="4AB46416" w14:textId="77777777" w:rsidR="0051780C" w:rsidRPr="00552334" w:rsidRDefault="0051780C" w:rsidP="00A573C4">
            <w:pPr>
              <w:pStyle w:val="FSTableText"/>
              <w:rPr>
                <w:lang w:val="en-GB" w:eastAsia="en-AU" w:bidi="ar-SA"/>
              </w:rPr>
            </w:pPr>
          </w:p>
        </w:tc>
        <w:tc>
          <w:tcPr>
            <w:tcW w:w="1276" w:type="dxa"/>
            <w:vMerge/>
            <w:vAlign w:val="center"/>
          </w:tcPr>
          <w:p w14:paraId="05707CC2" w14:textId="77777777" w:rsidR="0051780C" w:rsidRPr="00552334" w:rsidRDefault="0051780C" w:rsidP="00A573C4">
            <w:pPr>
              <w:pStyle w:val="FSTableText"/>
              <w:rPr>
                <w:sz w:val="18"/>
                <w:szCs w:val="18"/>
                <w:lang w:val="en-GB" w:eastAsia="en-AU" w:bidi="ar-SA"/>
              </w:rPr>
            </w:pPr>
          </w:p>
        </w:tc>
        <w:tc>
          <w:tcPr>
            <w:tcW w:w="4394" w:type="dxa"/>
            <w:vAlign w:val="center"/>
          </w:tcPr>
          <w:p w14:paraId="476EDB65" w14:textId="77777777" w:rsidR="0051780C" w:rsidRPr="00552334" w:rsidRDefault="0051780C" w:rsidP="00A573C4">
            <w:pPr>
              <w:pStyle w:val="FSTableText"/>
              <w:rPr>
                <w:sz w:val="18"/>
                <w:szCs w:val="18"/>
                <w:lang w:val="en-GB"/>
              </w:rPr>
            </w:pPr>
            <w:r w:rsidRPr="00552334">
              <w:rPr>
                <w:color w:val="000000"/>
                <w:sz w:val="18"/>
                <w:szCs w:val="18"/>
                <w:lang w:val="en-GB"/>
              </w:rPr>
              <w:t>Ferm &amp; renn milk, unflav, low/skim, PSE</w:t>
            </w:r>
          </w:p>
        </w:tc>
        <w:tc>
          <w:tcPr>
            <w:tcW w:w="1276" w:type="dxa"/>
            <w:vAlign w:val="center"/>
          </w:tcPr>
          <w:p w14:paraId="02E37F05" w14:textId="77777777" w:rsidR="0051780C" w:rsidRPr="00552334" w:rsidRDefault="0051780C" w:rsidP="00A573C4">
            <w:pPr>
              <w:pStyle w:val="FSTableText"/>
              <w:rPr>
                <w:lang w:val="en-GB"/>
              </w:rPr>
            </w:pPr>
            <w:r w:rsidRPr="00552334">
              <w:rPr>
                <w:color w:val="000000"/>
                <w:lang w:val="en-GB"/>
              </w:rPr>
              <w:t>1.2.1.4.1</w:t>
            </w:r>
          </w:p>
        </w:tc>
      </w:tr>
      <w:tr w:rsidR="0051780C" w:rsidRPr="00552334" w14:paraId="52FD8885" w14:textId="77777777" w:rsidTr="00A573C4">
        <w:trPr>
          <w:trHeight w:val="283"/>
        </w:trPr>
        <w:tc>
          <w:tcPr>
            <w:tcW w:w="1242" w:type="dxa"/>
            <w:vAlign w:val="center"/>
          </w:tcPr>
          <w:p w14:paraId="6B096EEA" w14:textId="77777777" w:rsidR="0051780C" w:rsidRPr="00552334" w:rsidRDefault="0051780C" w:rsidP="00A573C4">
            <w:pPr>
              <w:pStyle w:val="FSTableText"/>
              <w:rPr>
                <w:lang w:val="en-GB"/>
              </w:rPr>
            </w:pPr>
            <w:r w:rsidRPr="00552334">
              <w:rPr>
                <w:lang w:val="en-GB"/>
              </w:rPr>
              <w:t>Milk</w:t>
            </w:r>
          </w:p>
        </w:tc>
        <w:tc>
          <w:tcPr>
            <w:tcW w:w="1134" w:type="dxa"/>
            <w:vAlign w:val="center"/>
          </w:tcPr>
          <w:p w14:paraId="63F0FA52" w14:textId="02FB7C37" w:rsidR="0051780C" w:rsidRPr="00552334" w:rsidRDefault="0051780C" w:rsidP="00A573C4">
            <w:pPr>
              <w:pStyle w:val="FSTableText"/>
              <w:rPr>
                <w:lang w:val="en-GB"/>
              </w:rPr>
            </w:pPr>
            <w:r>
              <w:rPr>
                <w:lang w:val="en-GB" w:eastAsia="en-AU" w:bidi="ar-SA"/>
              </w:rPr>
              <w:t>section</w:t>
            </w:r>
            <w:r w:rsidRPr="00552334">
              <w:rPr>
                <w:lang w:val="en-GB" w:eastAsia="en-AU" w:bidi="ar-SA"/>
              </w:rPr>
              <w:t xml:space="preserve"> 2.5.1</w:t>
            </w:r>
            <w:r>
              <w:rPr>
                <w:lang w:val="en-GB" w:eastAsia="en-AU" w:bidi="ar-SA"/>
              </w:rPr>
              <w:t>—</w:t>
            </w:r>
            <w:r w:rsidRPr="00552334">
              <w:rPr>
                <w:lang w:val="en-GB" w:eastAsia="en-AU" w:bidi="ar-SA"/>
              </w:rPr>
              <w:t>6</w:t>
            </w:r>
          </w:p>
        </w:tc>
        <w:tc>
          <w:tcPr>
            <w:tcW w:w="1276" w:type="dxa"/>
            <w:vAlign w:val="center"/>
          </w:tcPr>
          <w:p w14:paraId="2EC00A9C" w14:textId="77777777" w:rsidR="0051780C" w:rsidRPr="00552334" w:rsidRDefault="0051780C" w:rsidP="00A573C4">
            <w:pPr>
              <w:pStyle w:val="FSTableText"/>
              <w:rPr>
                <w:sz w:val="18"/>
                <w:szCs w:val="18"/>
                <w:lang w:val="en-GB"/>
              </w:rPr>
            </w:pPr>
            <w:r w:rsidRPr="00552334">
              <w:rPr>
                <w:sz w:val="18"/>
                <w:szCs w:val="18"/>
                <w:lang w:val="en-GB" w:eastAsia="en-AU" w:bidi="ar-SA"/>
              </w:rPr>
              <w:t>4 g/L</w:t>
            </w:r>
          </w:p>
        </w:tc>
        <w:tc>
          <w:tcPr>
            <w:tcW w:w="4394" w:type="dxa"/>
            <w:vAlign w:val="center"/>
          </w:tcPr>
          <w:p w14:paraId="1863CEF4" w14:textId="77777777" w:rsidR="0051780C" w:rsidRPr="00E10D8F" w:rsidRDefault="0051780C" w:rsidP="00A573C4">
            <w:pPr>
              <w:pStyle w:val="FSTableText"/>
              <w:rPr>
                <w:sz w:val="18"/>
                <w:szCs w:val="18"/>
                <w:lang w:val="en-GB"/>
              </w:rPr>
            </w:pPr>
            <w:r w:rsidRPr="00552334">
              <w:rPr>
                <w:sz w:val="18"/>
                <w:szCs w:val="18"/>
                <w:lang w:val="en-GB"/>
              </w:rPr>
              <w:t>Liquid milk, phytosterol esters (PSE)</w:t>
            </w:r>
          </w:p>
        </w:tc>
        <w:tc>
          <w:tcPr>
            <w:tcW w:w="1276" w:type="dxa"/>
            <w:vAlign w:val="center"/>
          </w:tcPr>
          <w:p w14:paraId="480716AB" w14:textId="77777777" w:rsidR="0051780C" w:rsidRPr="00552334" w:rsidRDefault="0051780C" w:rsidP="00A573C4">
            <w:pPr>
              <w:pStyle w:val="FSTableText"/>
              <w:rPr>
                <w:lang w:val="en-GB"/>
              </w:rPr>
            </w:pPr>
            <w:r w:rsidRPr="00552334">
              <w:rPr>
                <w:lang w:val="en-GB"/>
              </w:rPr>
              <w:t>1.1.2.5</w:t>
            </w:r>
          </w:p>
        </w:tc>
      </w:tr>
      <w:tr w:rsidR="0051780C" w:rsidRPr="00552334" w14:paraId="03632776" w14:textId="77777777" w:rsidTr="00A573C4">
        <w:trPr>
          <w:trHeight w:val="283"/>
        </w:trPr>
        <w:tc>
          <w:tcPr>
            <w:tcW w:w="1242" w:type="dxa"/>
            <w:vMerge w:val="restart"/>
            <w:vAlign w:val="center"/>
          </w:tcPr>
          <w:p w14:paraId="636B2D75" w14:textId="77777777" w:rsidR="0051780C" w:rsidRPr="00552334" w:rsidRDefault="0051780C" w:rsidP="00A573C4">
            <w:pPr>
              <w:pStyle w:val="FSTableText"/>
              <w:rPr>
                <w:lang w:val="en-GB"/>
              </w:rPr>
            </w:pPr>
            <w:r w:rsidRPr="00552334">
              <w:rPr>
                <w:lang w:val="en-GB" w:eastAsia="en-AU" w:bidi="ar-SA"/>
              </w:rPr>
              <w:t>Edible oil spread (including margarine)</w:t>
            </w:r>
          </w:p>
        </w:tc>
        <w:tc>
          <w:tcPr>
            <w:tcW w:w="1134" w:type="dxa"/>
            <w:vMerge w:val="restart"/>
            <w:vAlign w:val="center"/>
          </w:tcPr>
          <w:p w14:paraId="21BBC4DC" w14:textId="04D8F298" w:rsidR="0051780C" w:rsidRPr="00552334" w:rsidRDefault="0051780C" w:rsidP="00A573C4">
            <w:pPr>
              <w:pStyle w:val="FSTableText"/>
              <w:rPr>
                <w:lang w:val="en-GB"/>
              </w:rPr>
            </w:pPr>
            <w:r>
              <w:rPr>
                <w:lang w:val="en-GB" w:eastAsia="en-AU" w:bidi="ar-SA"/>
              </w:rPr>
              <w:t>section</w:t>
            </w:r>
            <w:r w:rsidRPr="00552334">
              <w:rPr>
                <w:lang w:val="en-GB" w:eastAsia="en-AU" w:bidi="ar-SA"/>
              </w:rPr>
              <w:t xml:space="preserve"> 2.4.2</w:t>
            </w:r>
            <w:r>
              <w:rPr>
                <w:lang w:val="en-GB" w:eastAsia="en-AU" w:bidi="ar-SA"/>
              </w:rPr>
              <w:t>—</w:t>
            </w:r>
            <w:r w:rsidRPr="00552334">
              <w:rPr>
                <w:lang w:val="en-GB" w:eastAsia="en-AU" w:bidi="ar-SA"/>
              </w:rPr>
              <w:t>2</w:t>
            </w:r>
          </w:p>
          <w:p w14:paraId="3B7C0038" w14:textId="77777777" w:rsidR="0051780C" w:rsidRPr="00552334" w:rsidRDefault="0051780C" w:rsidP="00A573C4">
            <w:pPr>
              <w:pStyle w:val="FSTableText"/>
              <w:rPr>
                <w:lang w:val="en-GB"/>
              </w:rPr>
            </w:pPr>
          </w:p>
        </w:tc>
        <w:tc>
          <w:tcPr>
            <w:tcW w:w="1276" w:type="dxa"/>
            <w:vMerge w:val="restart"/>
            <w:vAlign w:val="center"/>
          </w:tcPr>
          <w:p w14:paraId="1F212516" w14:textId="77777777" w:rsidR="0051780C" w:rsidRPr="00E10D8F" w:rsidRDefault="0051780C" w:rsidP="00A573C4">
            <w:pPr>
              <w:pStyle w:val="FSTableText"/>
              <w:rPr>
                <w:sz w:val="18"/>
                <w:szCs w:val="18"/>
                <w:lang w:val="en-GB"/>
              </w:rPr>
            </w:pPr>
            <w:r w:rsidRPr="00552334">
              <w:rPr>
                <w:sz w:val="18"/>
                <w:szCs w:val="18"/>
                <w:lang w:val="en-GB" w:eastAsia="en-AU" w:bidi="ar-SA"/>
              </w:rPr>
              <w:t>82 g/kg</w:t>
            </w:r>
          </w:p>
          <w:p w14:paraId="55986E12" w14:textId="77777777" w:rsidR="0051780C" w:rsidRPr="00552334" w:rsidRDefault="0051780C" w:rsidP="00A573C4">
            <w:pPr>
              <w:pStyle w:val="FSTableText"/>
              <w:rPr>
                <w:sz w:val="18"/>
                <w:szCs w:val="18"/>
                <w:lang w:val="en-GB"/>
              </w:rPr>
            </w:pPr>
          </w:p>
        </w:tc>
        <w:tc>
          <w:tcPr>
            <w:tcW w:w="4394" w:type="dxa"/>
            <w:tcBorders>
              <w:bottom w:val="single" w:sz="4" w:space="0" w:color="000000"/>
            </w:tcBorders>
            <w:vAlign w:val="center"/>
          </w:tcPr>
          <w:p w14:paraId="53C38167" w14:textId="77777777" w:rsidR="0051780C" w:rsidRPr="00552334" w:rsidRDefault="0051780C" w:rsidP="00A573C4">
            <w:pPr>
              <w:pStyle w:val="FSTableText"/>
              <w:rPr>
                <w:sz w:val="18"/>
                <w:szCs w:val="18"/>
                <w:lang w:val="en-GB"/>
              </w:rPr>
            </w:pPr>
            <w:r w:rsidRPr="00552334">
              <w:rPr>
                <w:color w:val="000000"/>
                <w:sz w:val="18"/>
                <w:szCs w:val="18"/>
                <w:lang w:val="en-GB"/>
              </w:rPr>
              <w:t>Edible oil spread, red fat, PSE</w:t>
            </w:r>
          </w:p>
        </w:tc>
        <w:tc>
          <w:tcPr>
            <w:tcW w:w="1276" w:type="dxa"/>
            <w:tcBorders>
              <w:bottom w:val="single" w:sz="4" w:space="0" w:color="000000"/>
            </w:tcBorders>
            <w:vAlign w:val="center"/>
          </w:tcPr>
          <w:p w14:paraId="0E483698" w14:textId="77777777" w:rsidR="0051780C" w:rsidRPr="00552334" w:rsidRDefault="0051780C" w:rsidP="00A573C4">
            <w:pPr>
              <w:pStyle w:val="FSTableText"/>
              <w:rPr>
                <w:lang w:val="en-GB"/>
              </w:rPr>
            </w:pPr>
            <w:r w:rsidRPr="00552334">
              <w:rPr>
                <w:color w:val="000000"/>
                <w:lang w:val="en-GB"/>
              </w:rPr>
              <w:t>2.2.2.1.2.1</w:t>
            </w:r>
          </w:p>
        </w:tc>
      </w:tr>
      <w:tr w:rsidR="0051780C" w:rsidRPr="00552334" w14:paraId="564959F2" w14:textId="77777777" w:rsidTr="00A573C4">
        <w:trPr>
          <w:trHeight w:val="283"/>
        </w:trPr>
        <w:tc>
          <w:tcPr>
            <w:tcW w:w="1242" w:type="dxa"/>
            <w:vMerge/>
            <w:vAlign w:val="center"/>
          </w:tcPr>
          <w:p w14:paraId="0DED7CDD" w14:textId="77777777" w:rsidR="0051780C" w:rsidRPr="00552334" w:rsidRDefault="0051780C" w:rsidP="00A573C4">
            <w:pPr>
              <w:pStyle w:val="FSTableText"/>
              <w:rPr>
                <w:lang w:val="en-GB" w:eastAsia="en-AU" w:bidi="ar-SA"/>
              </w:rPr>
            </w:pPr>
          </w:p>
        </w:tc>
        <w:tc>
          <w:tcPr>
            <w:tcW w:w="1134" w:type="dxa"/>
            <w:vMerge/>
            <w:vAlign w:val="center"/>
          </w:tcPr>
          <w:p w14:paraId="6ADBD717" w14:textId="77777777" w:rsidR="0051780C" w:rsidRPr="00552334" w:rsidRDefault="0051780C" w:rsidP="00A573C4">
            <w:pPr>
              <w:pStyle w:val="FSTableText"/>
              <w:rPr>
                <w:lang w:val="en-GB" w:eastAsia="en-AU" w:bidi="ar-SA"/>
              </w:rPr>
            </w:pPr>
          </w:p>
        </w:tc>
        <w:tc>
          <w:tcPr>
            <w:tcW w:w="1276" w:type="dxa"/>
            <w:vMerge/>
            <w:vAlign w:val="center"/>
          </w:tcPr>
          <w:p w14:paraId="0ED77F06" w14:textId="77777777" w:rsidR="0051780C" w:rsidRPr="00552334" w:rsidRDefault="0051780C" w:rsidP="00A573C4">
            <w:pPr>
              <w:pStyle w:val="FSTableText"/>
              <w:rPr>
                <w:sz w:val="18"/>
                <w:szCs w:val="18"/>
                <w:lang w:val="en-GB" w:eastAsia="en-AU" w:bidi="ar-SA"/>
              </w:rPr>
            </w:pPr>
          </w:p>
        </w:tc>
        <w:tc>
          <w:tcPr>
            <w:tcW w:w="4394" w:type="dxa"/>
            <w:tcBorders>
              <w:bottom w:val="single" w:sz="4" w:space="0" w:color="000000"/>
            </w:tcBorders>
            <w:vAlign w:val="center"/>
          </w:tcPr>
          <w:p w14:paraId="7C30D1C8" w14:textId="77777777" w:rsidR="0051780C" w:rsidRPr="00552334" w:rsidRDefault="0051780C" w:rsidP="00A573C4">
            <w:pPr>
              <w:pStyle w:val="FSTableText"/>
              <w:rPr>
                <w:sz w:val="18"/>
                <w:szCs w:val="18"/>
                <w:lang w:val="en-GB"/>
              </w:rPr>
            </w:pPr>
            <w:r w:rsidRPr="00552334">
              <w:rPr>
                <w:color w:val="000000"/>
                <w:sz w:val="18"/>
                <w:szCs w:val="18"/>
                <w:lang w:val="en-GB"/>
              </w:rPr>
              <w:t>Edible oil spread, standard fat, PSE</w:t>
            </w:r>
          </w:p>
        </w:tc>
        <w:tc>
          <w:tcPr>
            <w:tcW w:w="1276" w:type="dxa"/>
            <w:tcBorders>
              <w:bottom w:val="single" w:sz="4" w:space="0" w:color="000000"/>
            </w:tcBorders>
            <w:vAlign w:val="center"/>
          </w:tcPr>
          <w:p w14:paraId="77ECE63B" w14:textId="77777777" w:rsidR="0051780C" w:rsidRPr="00552334" w:rsidRDefault="0051780C" w:rsidP="00A573C4">
            <w:pPr>
              <w:pStyle w:val="FSTableText"/>
              <w:rPr>
                <w:lang w:val="en-GB"/>
              </w:rPr>
            </w:pPr>
            <w:r w:rsidRPr="00552334">
              <w:rPr>
                <w:color w:val="000000"/>
                <w:lang w:val="en-GB"/>
              </w:rPr>
              <w:t>2.2.2.1.1.1</w:t>
            </w:r>
          </w:p>
        </w:tc>
      </w:tr>
      <w:tr w:rsidR="0051780C" w:rsidRPr="00552334" w14:paraId="35028FFA" w14:textId="77777777" w:rsidTr="00A573C4">
        <w:trPr>
          <w:trHeight w:val="283"/>
        </w:trPr>
        <w:tc>
          <w:tcPr>
            <w:tcW w:w="1242" w:type="dxa"/>
            <w:vMerge/>
            <w:tcBorders>
              <w:bottom w:val="single" w:sz="4" w:space="0" w:color="000000"/>
            </w:tcBorders>
            <w:vAlign w:val="center"/>
          </w:tcPr>
          <w:p w14:paraId="570C8423" w14:textId="77777777" w:rsidR="0051780C" w:rsidRPr="00552334" w:rsidRDefault="0051780C" w:rsidP="00A573C4">
            <w:pPr>
              <w:pStyle w:val="FSTableText"/>
              <w:rPr>
                <w:lang w:val="en-GB" w:eastAsia="en-AU" w:bidi="ar-SA"/>
              </w:rPr>
            </w:pPr>
          </w:p>
        </w:tc>
        <w:tc>
          <w:tcPr>
            <w:tcW w:w="1134" w:type="dxa"/>
            <w:vMerge/>
            <w:tcBorders>
              <w:bottom w:val="single" w:sz="4" w:space="0" w:color="000000"/>
            </w:tcBorders>
            <w:vAlign w:val="center"/>
          </w:tcPr>
          <w:p w14:paraId="163609C9" w14:textId="77777777" w:rsidR="0051780C" w:rsidRPr="00552334" w:rsidRDefault="0051780C" w:rsidP="00A573C4">
            <w:pPr>
              <w:pStyle w:val="FSTableText"/>
              <w:rPr>
                <w:lang w:val="en-GB" w:eastAsia="en-AU" w:bidi="ar-SA"/>
              </w:rPr>
            </w:pPr>
          </w:p>
        </w:tc>
        <w:tc>
          <w:tcPr>
            <w:tcW w:w="1276" w:type="dxa"/>
            <w:vMerge/>
            <w:tcBorders>
              <w:bottom w:val="single" w:sz="4" w:space="0" w:color="000000"/>
            </w:tcBorders>
            <w:vAlign w:val="center"/>
          </w:tcPr>
          <w:p w14:paraId="32221A0B" w14:textId="77777777" w:rsidR="0051780C" w:rsidRPr="00552334" w:rsidRDefault="0051780C" w:rsidP="00A573C4">
            <w:pPr>
              <w:pStyle w:val="FSTableText"/>
              <w:rPr>
                <w:sz w:val="18"/>
                <w:szCs w:val="18"/>
                <w:lang w:val="en-GB" w:eastAsia="en-AU" w:bidi="ar-SA"/>
              </w:rPr>
            </w:pPr>
          </w:p>
        </w:tc>
        <w:tc>
          <w:tcPr>
            <w:tcW w:w="4394" w:type="dxa"/>
            <w:tcBorders>
              <w:bottom w:val="single" w:sz="4" w:space="0" w:color="000000"/>
            </w:tcBorders>
            <w:vAlign w:val="center"/>
          </w:tcPr>
          <w:p w14:paraId="614DF069" w14:textId="77777777" w:rsidR="0051780C" w:rsidRPr="00552334" w:rsidRDefault="0051780C" w:rsidP="00A573C4">
            <w:pPr>
              <w:pStyle w:val="FSTableText"/>
              <w:rPr>
                <w:sz w:val="18"/>
                <w:szCs w:val="18"/>
                <w:lang w:val="en-GB"/>
              </w:rPr>
            </w:pPr>
            <w:r w:rsidRPr="00552334">
              <w:rPr>
                <w:sz w:val="18"/>
                <w:szCs w:val="18"/>
                <w:lang w:val="en-GB"/>
              </w:rPr>
              <w:t>Margarine &amp; similar products, PSE</w:t>
            </w:r>
          </w:p>
        </w:tc>
        <w:tc>
          <w:tcPr>
            <w:tcW w:w="1276" w:type="dxa"/>
            <w:tcBorders>
              <w:bottom w:val="single" w:sz="4" w:space="0" w:color="000000"/>
            </w:tcBorders>
            <w:vAlign w:val="center"/>
          </w:tcPr>
          <w:p w14:paraId="060CD2E0" w14:textId="77777777" w:rsidR="0051780C" w:rsidRPr="00552334" w:rsidRDefault="0051780C" w:rsidP="00A573C4">
            <w:pPr>
              <w:pStyle w:val="FSTableText"/>
              <w:rPr>
                <w:lang w:val="en-GB"/>
              </w:rPr>
            </w:pPr>
            <w:r w:rsidRPr="00552334">
              <w:rPr>
                <w:lang w:val="en-GB"/>
              </w:rPr>
              <w:t>2.2.1.3.1</w:t>
            </w:r>
          </w:p>
        </w:tc>
      </w:tr>
      <w:tr w:rsidR="0051780C" w:rsidRPr="00552334" w14:paraId="129D5DDB" w14:textId="77777777" w:rsidTr="00A573C4">
        <w:trPr>
          <w:trHeight w:val="283"/>
        </w:trPr>
        <w:tc>
          <w:tcPr>
            <w:tcW w:w="1242" w:type="dxa"/>
            <w:vAlign w:val="center"/>
          </w:tcPr>
          <w:p w14:paraId="3E5A30ED" w14:textId="77777777" w:rsidR="0051780C" w:rsidRPr="00552334" w:rsidRDefault="0051780C" w:rsidP="00A573C4">
            <w:pPr>
              <w:pStyle w:val="FSTableText"/>
              <w:rPr>
                <w:lang w:val="en-GB"/>
              </w:rPr>
            </w:pPr>
            <w:r w:rsidRPr="00552334">
              <w:rPr>
                <w:lang w:val="en-GB"/>
              </w:rPr>
              <w:t>Cheese</w:t>
            </w:r>
          </w:p>
        </w:tc>
        <w:tc>
          <w:tcPr>
            <w:tcW w:w="1134" w:type="dxa"/>
            <w:vAlign w:val="center"/>
          </w:tcPr>
          <w:p w14:paraId="2513DC66" w14:textId="11DF75EF" w:rsidR="0051780C" w:rsidRPr="00552334" w:rsidRDefault="0051780C" w:rsidP="00A573C4">
            <w:pPr>
              <w:pStyle w:val="FSTableText"/>
              <w:rPr>
                <w:lang w:val="en-GB"/>
              </w:rPr>
            </w:pPr>
            <w:r>
              <w:rPr>
                <w:lang w:val="en-GB" w:eastAsia="en-AU" w:bidi="ar-SA"/>
              </w:rPr>
              <w:t>section</w:t>
            </w:r>
            <w:r w:rsidRPr="00552334">
              <w:rPr>
                <w:lang w:val="en-GB" w:eastAsia="en-AU" w:bidi="ar-SA"/>
              </w:rPr>
              <w:t xml:space="preserve"> 2.5.4</w:t>
            </w:r>
            <w:r>
              <w:rPr>
                <w:lang w:val="en-GB" w:eastAsia="en-AU" w:bidi="ar-SA"/>
              </w:rPr>
              <w:t>—</w:t>
            </w:r>
            <w:r w:rsidRPr="00552334">
              <w:rPr>
                <w:lang w:val="en-GB" w:eastAsia="en-AU" w:bidi="ar-SA"/>
              </w:rPr>
              <w:t>4</w:t>
            </w:r>
          </w:p>
        </w:tc>
        <w:tc>
          <w:tcPr>
            <w:tcW w:w="1276" w:type="dxa"/>
            <w:vAlign w:val="center"/>
          </w:tcPr>
          <w:p w14:paraId="05FB08E7" w14:textId="77777777" w:rsidR="0051780C" w:rsidRPr="00552334" w:rsidRDefault="0051780C" w:rsidP="00A573C4">
            <w:pPr>
              <w:pStyle w:val="FSTableText"/>
              <w:rPr>
                <w:sz w:val="18"/>
                <w:szCs w:val="18"/>
                <w:lang w:val="en-GB"/>
              </w:rPr>
            </w:pPr>
            <w:r w:rsidRPr="00552334">
              <w:rPr>
                <w:sz w:val="18"/>
                <w:szCs w:val="18"/>
                <w:lang w:val="en-GB" w:eastAsia="en-AU" w:bidi="ar-SA"/>
              </w:rPr>
              <w:t>90 g/kg</w:t>
            </w:r>
          </w:p>
        </w:tc>
        <w:tc>
          <w:tcPr>
            <w:tcW w:w="4394" w:type="dxa"/>
            <w:vAlign w:val="center"/>
          </w:tcPr>
          <w:p w14:paraId="0A914337" w14:textId="77777777" w:rsidR="0051780C" w:rsidRPr="00E10D8F" w:rsidRDefault="0051780C" w:rsidP="00A573C4">
            <w:pPr>
              <w:pStyle w:val="FSTableText"/>
              <w:rPr>
                <w:sz w:val="18"/>
                <w:szCs w:val="18"/>
                <w:lang w:val="en-GB"/>
              </w:rPr>
            </w:pPr>
            <w:r w:rsidRPr="00552334">
              <w:rPr>
                <w:sz w:val="18"/>
                <w:szCs w:val="18"/>
                <w:lang w:val="en-GB"/>
              </w:rPr>
              <w:t>Processed cheese, whole fat (=&gt;15%), PSE</w:t>
            </w:r>
            <w:r w:rsidRPr="00E10D8F">
              <w:rPr>
                <w:sz w:val="18"/>
                <w:szCs w:val="18"/>
                <w:lang w:val="en-GB"/>
              </w:rPr>
              <w:t xml:space="preserve"> added</w:t>
            </w:r>
          </w:p>
        </w:tc>
        <w:tc>
          <w:tcPr>
            <w:tcW w:w="1276" w:type="dxa"/>
            <w:vAlign w:val="center"/>
          </w:tcPr>
          <w:p w14:paraId="01CC386D" w14:textId="77777777" w:rsidR="0051780C" w:rsidRPr="00552334" w:rsidRDefault="0051780C" w:rsidP="00A573C4">
            <w:pPr>
              <w:pStyle w:val="FSTableText"/>
              <w:rPr>
                <w:lang w:val="en-GB"/>
              </w:rPr>
            </w:pPr>
            <w:r w:rsidRPr="00552334">
              <w:rPr>
                <w:bCs/>
                <w:lang w:val="en-GB"/>
              </w:rPr>
              <w:t>1.6.3.1.2</w:t>
            </w:r>
          </w:p>
        </w:tc>
      </w:tr>
      <w:tr w:rsidR="0051780C" w:rsidRPr="00552334" w14:paraId="6A6A197E" w14:textId="77777777" w:rsidTr="00A573C4">
        <w:trPr>
          <w:trHeight w:val="283"/>
        </w:trPr>
        <w:tc>
          <w:tcPr>
            <w:tcW w:w="9322" w:type="dxa"/>
            <w:gridSpan w:val="5"/>
            <w:vAlign w:val="center"/>
          </w:tcPr>
          <w:p w14:paraId="3A264D23" w14:textId="77777777" w:rsidR="0051780C" w:rsidRPr="00552334" w:rsidRDefault="0051780C" w:rsidP="00A573C4">
            <w:pPr>
              <w:pStyle w:val="FSTableText"/>
              <w:rPr>
                <w:bCs/>
                <w:lang w:val="en-GB"/>
              </w:rPr>
            </w:pPr>
            <w:r w:rsidRPr="00552334">
              <w:rPr>
                <w:b/>
                <w:lang w:val="en-GB"/>
              </w:rPr>
              <w:t>New Classifications – for scenario model</w:t>
            </w:r>
            <w:r w:rsidRPr="00552334">
              <w:rPr>
                <w:b/>
                <w:vertAlign w:val="superscript"/>
                <w:lang w:val="en-GB"/>
              </w:rPr>
              <w:t>2</w:t>
            </w:r>
          </w:p>
        </w:tc>
      </w:tr>
      <w:tr w:rsidR="0051780C" w:rsidRPr="00552334" w14:paraId="5A6122BA" w14:textId="77777777" w:rsidTr="00A573C4">
        <w:trPr>
          <w:trHeight w:val="283"/>
        </w:trPr>
        <w:tc>
          <w:tcPr>
            <w:tcW w:w="1242" w:type="dxa"/>
            <w:vMerge w:val="restart"/>
            <w:vAlign w:val="center"/>
          </w:tcPr>
          <w:p w14:paraId="0360F88E" w14:textId="77777777" w:rsidR="0051780C" w:rsidRPr="00552334" w:rsidRDefault="0051780C" w:rsidP="00A573C4">
            <w:pPr>
              <w:pStyle w:val="FSTableText"/>
              <w:rPr>
                <w:lang w:val="en-GB"/>
              </w:rPr>
            </w:pPr>
            <w:r w:rsidRPr="00552334">
              <w:rPr>
                <w:lang w:val="en-GB"/>
              </w:rPr>
              <w:t>Breakfast cereals</w:t>
            </w:r>
          </w:p>
          <w:p w14:paraId="3A2C03C7" w14:textId="77777777" w:rsidR="0051780C" w:rsidRPr="00552334" w:rsidRDefault="0051780C" w:rsidP="00A573C4">
            <w:pPr>
              <w:pStyle w:val="FSTableText"/>
              <w:rPr>
                <w:lang w:val="en-GB"/>
              </w:rPr>
            </w:pPr>
          </w:p>
          <w:p w14:paraId="4599B8DE" w14:textId="77777777" w:rsidR="0051780C" w:rsidRPr="00552334" w:rsidRDefault="0051780C" w:rsidP="00A573C4">
            <w:pPr>
              <w:pStyle w:val="FSTableText"/>
              <w:rPr>
                <w:lang w:val="en-GB"/>
              </w:rPr>
            </w:pPr>
          </w:p>
        </w:tc>
        <w:tc>
          <w:tcPr>
            <w:tcW w:w="1134" w:type="dxa"/>
            <w:vMerge w:val="restart"/>
            <w:vAlign w:val="center"/>
          </w:tcPr>
          <w:p w14:paraId="3555F2BE" w14:textId="77777777" w:rsidR="0051780C" w:rsidRPr="00552334" w:rsidRDefault="0051780C" w:rsidP="00A573C4">
            <w:pPr>
              <w:pStyle w:val="FSTableText"/>
              <w:rPr>
                <w:lang w:val="en-GB" w:eastAsia="en-AU" w:bidi="ar-SA"/>
              </w:rPr>
            </w:pPr>
            <w:r w:rsidRPr="00552334">
              <w:rPr>
                <w:lang w:val="en-GB" w:eastAsia="en-AU" w:bidi="ar-SA"/>
              </w:rPr>
              <w:t>na</w:t>
            </w:r>
          </w:p>
          <w:p w14:paraId="3D4E318C" w14:textId="77777777" w:rsidR="0051780C" w:rsidRPr="00552334" w:rsidRDefault="0051780C" w:rsidP="00A573C4">
            <w:pPr>
              <w:pStyle w:val="FSTableText"/>
              <w:rPr>
                <w:lang w:val="en-GB" w:eastAsia="en-AU" w:bidi="ar-SA"/>
              </w:rPr>
            </w:pPr>
          </w:p>
          <w:p w14:paraId="7BCFAF7B" w14:textId="77777777" w:rsidR="0051780C" w:rsidRPr="00E10D8F" w:rsidRDefault="0051780C" w:rsidP="00A573C4">
            <w:pPr>
              <w:pStyle w:val="FSTableText"/>
              <w:rPr>
                <w:lang w:val="en-GB" w:eastAsia="en-AU" w:bidi="ar-SA"/>
              </w:rPr>
            </w:pPr>
          </w:p>
        </w:tc>
        <w:tc>
          <w:tcPr>
            <w:tcW w:w="1276" w:type="dxa"/>
            <w:vAlign w:val="center"/>
          </w:tcPr>
          <w:p w14:paraId="698C09E7"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73 g/kg</w:t>
            </w:r>
          </w:p>
        </w:tc>
        <w:tc>
          <w:tcPr>
            <w:tcW w:w="4394" w:type="dxa"/>
            <w:vAlign w:val="center"/>
          </w:tcPr>
          <w:p w14:paraId="3C64C54D" w14:textId="77777777" w:rsidR="0051780C" w:rsidRPr="00552334" w:rsidRDefault="0051780C" w:rsidP="00A573C4">
            <w:pPr>
              <w:pStyle w:val="FSTableText"/>
              <w:rPr>
                <w:color w:val="000000"/>
                <w:sz w:val="18"/>
                <w:szCs w:val="18"/>
                <w:lang w:val="en-GB"/>
              </w:rPr>
            </w:pPr>
            <w:r w:rsidRPr="00552334">
              <w:rPr>
                <w:color w:val="000000"/>
                <w:sz w:val="18"/>
                <w:szCs w:val="18"/>
                <w:lang w:val="en-GB"/>
              </w:rPr>
              <w:t>Breakfast cereal that meets sugar and fibre criteria</w:t>
            </w:r>
          </w:p>
        </w:tc>
        <w:tc>
          <w:tcPr>
            <w:tcW w:w="1276" w:type="dxa"/>
            <w:vAlign w:val="center"/>
          </w:tcPr>
          <w:p w14:paraId="00F1E169" w14:textId="77777777" w:rsidR="0051780C" w:rsidRPr="00552334" w:rsidRDefault="0051780C" w:rsidP="00A573C4">
            <w:pPr>
              <w:pStyle w:val="FSTableText"/>
              <w:rPr>
                <w:bCs/>
                <w:lang w:val="en-GB"/>
              </w:rPr>
            </w:pPr>
            <w:r w:rsidRPr="00552334">
              <w:rPr>
                <w:bCs/>
                <w:lang w:val="en-GB"/>
              </w:rPr>
              <w:t>6.3.4</w:t>
            </w:r>
          </w:p>
        </w:tc>
      </w:tr>
      <w:tr w:rsidR="0051780C" w:rsidRPr="00552334" w14:paraId="559A36D7" w14:textId="77777777" w:rsidTr="00A573C4">
        <w:trPr>
          <w:trHeight w:val="283"/>
        </w:trPr>
        <w:tc>
          <w:tcPr>
            <w:tcW w:w="1242" w:type="dxa"/>
            <w:vMerge/>
            <w:vAlign w:val="center"/>
          </w:tcPr>
          <w:p w14:paraId="5B7E3281" w14:textId="77777777" w:rsidR="0051780C" w:rsidRPr="00552334" w:rsidRDefault="0051780C" w:rsidP="00A573C4">
            <w:pPr>
              <w:pStyle w:val="FSTableText"/>
              <w:rPr>
                <w:lang w:val="en-GB"/>
              </w:rPr>
            </w:pPr>
          </w:p>
        </w:tc>
        <w:tc>
          <w:tcPr>
            <w:tcW w:w="1134" w:type="dxa"/>
            <w:vMerge/>
            <w:vAlign w:val="center"/>
          </w:tcPr>
          <w:p w14:paraId="13646A9D" w14:textId="77777777" w:rsidR="0051780C" w:rsidRPr="00552334" w:rsidRDefault="0051780C" w:rsidP="00A573C4">
            <w:pPr>
              <w:pStyle w:val="FSTableText"/>
              <w:rPr>
                <w:lang w:val="en-GB" w:eastAsia="en-AU" w:bidi="ar-SA"/>
              </w:rPr>
            </w:pPr>
          </w:p>
        </w:tc>
        <w:tc>
          <w:tcPr>
            <w:tcW w:w="1276" w:type="dxa"/>
            <w:vAlign w:val="center"/>
          </w:tcPr>
          <w:p w14:paraId="0E5AC428"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73 g/kg</w:t>
            </w:r>
          </w:p>
        </w:tc>
        <w:tc>
          <w:tcPr>
            <w:tcW w:w="4394" w:type="dxa"/>
            <w:vAlign w:val="center"/>
          </w:tcPr>
          <w:p w14:paraId="4B23F212" w14:textId="77777777" w:rsidR="0051780C" w:rsidRPr="00552334" w:rsidRDefault="0051780C" w:rsidP="00A573C4">
            <w:pPr>
              <w:pStyle w:val="FSTableText"/>
              <w:rPr>
                <w:color w:val="000000"/>
                <w:sz w:val="18"/>
                <w:szCs w:val="18"/>
                <w:lang w:val="en-GB"/>
              </w:rPr>
            </w:pPr>
            <w:r w:rsidRPr="00552334">
              <w:rPr>
                <w:color w:val="000000"/>
                <w:sz w:val="18"/>
                <w:szCs w:val="18"/>
                <w:lang w:val="en-GB"/>
              </w:rPr>
              <w:t xml:space="preserve">Flaked biscuits </w:t>
            </w:r>
          </w:p>
        </w:tc>
        <w:tc>
          <w:tcPr>
            <w:tcW w:w="1276" w:type="dxa"/>
            <w:vAlign w:val="center"/>
          </w:tcPr>
          <w:p w14:paraId="3D0A7794" w14:textId="77777777" w:rsidR="0051780C" w:rsidRPr="00552334" w:rsidRDefault="0051780C" w:rsidP="00A573C4">
            <w:pPr>
              <w:pStyle w:val="FSTableText"/>
              <w:rPr>
                <w:bCs/>
                <w:lang w:val="en-GB"/>
              </w:rPr>
            </w:pPr>
            <w:r w:rsidRPr="00552334">
              <w:rPr>
                <w:bCs/>
                <w:lang w:val="en-GB"/>
              </w:rPr>
              <w:t>6.3.5</w:t>
            </w:r>
          </w:p>
        </w:tc>
      </w:tr>
      <w:tr w:rsidR="0051780C" w:rsidRPr="00552334" w14:paraId="00CEA123" w14:textId="77777777" w:rsidTr="00A573C4">
        <w:trPr>
          <w:trHeight w:val="283"/>
        </w:trPr>
        <w:tc>
          <w:tcPr>
            <w:tcW w:w="1242" w:type="dxa"/>
            <w:vMerge/>
            <w:vAlign w:val="center"/>
          </w:tcPr>
          <w:p w14:paraId="1836BA4A" w14:textId="77777777" w:rsidR="0051780C" w:rsidRPr="00552334" w:rsidRDefault="0051780C" w:rsidP="00A573C4">
            <w:pPr>
              <w:pStyle w:val="FSTableText"/>
              <w:rPr>
                <w:lang w:val="en-GB"/>
              </w:rPr>
            </w:pPr>
          </w:p>
        </w:tc>
        <w:tc>
          <w:tcPr>
            <w:tcW w:w="1134" w:type="dxa"/>
            <w:vMerge/>
            <w:vAlign w:val="center"/>
          </w:tcPr>
          <w:p w14:paraId="069556BE" w14:textId="77777777" w:rsidR="0051780C" w:rsidRPr="00552334" w:rsidRDefault="0051780C" w:rsidP="00A573C4">
            <w:pPr>
              <w:pStyle w:val="FSTableText"/>
              <w:rPr>
                <w:lang w:val="en-GB" w:eastAsia="en-AU" w:bidi="ar-SA"/>
              </w:rPr>
            </w:pPr>
          </w:p>
        </w:tc>
        <w:tc>
          <w:tcPr>
            <w:tcW w:w="1276" w:type="dxa"/>
            <w:vAlign w:val="center"/>
          </w:tcPr>
          <w:p w14:paraId="2A2D70CB"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13.3 g/kg</w:t>
            </w:r>
          </w:p>
        </w:tc>
        <w:tc>
          <w:tcPr>
            <w:tcW w:w="4394" w:type="dxa"/>
            <w:vAlign w:val="bottom"/>
          </w:tcPr>
          <w:p w14:paraId="2C4CF74F" w14:textId="77777777" w:rsidR="0051780C" w:rsidRPr="00552334" w:rsidRDefault="0051780C" w:rsidP="00A573C4">
            <w:pPr>
              <w:pStyle w:val="FSTableText"/>
              <w:rPr>
                <w:color w:val="000000"/>
                <w:sz w:val="18"/>
                <w:szCs w:val="18"/>
                <w:lang w:val="en-GB"/>
              </w:rPr>
            </w:pPr>
            <w:r w:rsidRPr="00552334">
              <w:rPr>
                <w:color w:val="000000"/>
                <w:sz w:val="18"/>
                <w:szCs w:val="18"/>
                <w:lang w:val="en-GB"/>
              </w:rPr>
              <w:t>oats, rolled, cooked</w:t>
            </w:r>
          </w:p>
        </w:tc>
        <w:tc>
          <w:tcPr>
            <w:tcW w:w="1276" w:type="dxa"/>
            <w:vAlign w:val="center"/>
          </w:tcPr>
          <w:p w14:paraId="1FB86A31" w14:textId="77777777" w:rsidR="0051780C" w:rsidRPr="00552334" w:rsidRDefault="0051780C" w:rsidP="00A573C4">
            <w:pPr>
              <w:pStyle w:val="FSTableText"/>
              <w:rPr>
                <w:bCs/>
                <w:lang w:val="en-GB"/>
              </w:rPr>
            </w:pPr>
            <w:r w:rsidRPr="00552334">
              <w:rPr>
                <w:bCs/>
                <w:lang w:val="en-GB"/>
              </w:rPr>
              <w:t>6.1.1.1</w:t>
            </w:r>
          </w:p>
        </w:tc>
      </w:tr>
      <w:tr w:rsidR="0051780C" w:rsidRPr="00552334" w14:paraId="668BB92E" w14:textId="77777777" w:rsidTr="00A573C4">
        <w:trPr>
          <w:trHeight w:val="283"/>
        </w:trPr>
        <w:tc>
          <w:tcPr>
            <w:tcW w:w="1242" w:type="dxa"/>
            <w:vMerge/>
            <w:vAlign w:val="center"/>
          </w:tcPr>
          <w:p w14:paraId="12086C32" w14:textId="77777777" w:rsidR="0051780C" w:rsidRPr="00552334" w:rsidRDefault="0051780C" w:rsidP="00A573C4">
            <w:pPr>
              <w:pStyle w:val="FSTableText"/>
              <w:rPr>
                <w:lang w:val="en-GB"/>
              </w:rPr>
            </w:pPr>
          </w:p>
        </w:tc>
        <w:tc>
          <w:tcPr>
            <w:tcW w:w="1134" w:type="dxa"/>
            <w:vMerge/>
            <w:vAlign w:val="center"/>
          </w:tcPr>
          <w:p w14:paraId="682B81A5" w14:textId="77777777" w:rsidR="0051780C" w:rsidRPr="00552334" w:rsidRDefault="0051780C" w:rsidP="00A573C4">
            <w:pPr>
              <w:pStyle w:val="FSTableText"/>
              <w:rPr>
                <w:lang w:val="en-GB" w:eastAsia="en-AU" w:bidi="ar-SA"/>
              </w:rPr>
            </w:pPr>
          </w:p>
        </w:tc>
        <w:tc>
          <w:tcPr>
            <w:tcW w:w="1276" w:type="dxa"/>
            <w:vAlign w:val="center"/>
          </w:tcPr>
          <w:p w14:paraId="68198738" w14:textId="77777777" w:rsidR="0051780C" w:rsidRPr="00552334" w:rsidRDefault="0051780C" w:rsidP="00A573C4">
            <w:pPr>
              <w:pStyle w:val="FSTableText"/>
              <w:rPr>
                <w:sz w:val="18"/>
                <w:szCs w:val="18"/>
                <w:lang w:val="en-GB" w:eastAsia="en-AU" w:bidi="ar-SA"/>
              </w:rPr>
            </w:pPr>
            <w:r w:rsidRPr="00552334">
              <w:rPr>
                <w:sz w:val="18"/>
                <w:szCs w:val="18"/>
                <w:lang w:val="en-GB" w:eastAsia="en-AU" w:bidi="ar-SA"/>
              </w:rPr>
              <w:t>55 g/kg</w:t>
            </w:r>
          </w:p>
        </w:tc>
        <w:tc>
          <w:tcPr>
            <w:tcW w:w="4394" w:type="dxa"/>
            <w:vAlign w:val="bottom"/>
          </w:tcPr>
          <w:p w14:paraId="366563A2" w14:textId="77777777" w:rsidR="0051780C" w:rsidRPr="00552334" w:rsidRDefault="0051780C" w:rsidP="00A573C4">
            <w:pPr>
              <w:pStyle w:val="FSTableText"/>
              <w:rPr>
                <w:color w:val="000000"/>
                <w:sz w:val="18"/>
                <w:szCs w:val="18"/>
                <w:lang w:val="en-GB"/>
              </w:rPr>
            </w:pPr>
            <w:r w:rsidRPr="00552334">
              <w:rPr>
                <w:color w:val="000000"/>
                <w:sz w:val="18"/>
                <w:szCs w:val="18"/>
                <w:lang w:val="en-GB"/>
              </w:rPr>
              <w:t>oats, rolled, uncooked</w:t>
            </w:r>
          </w:p>
        </w:tc>
        <w:tc>
          <w:tcPr>
            <w:tcW w:w="1276" w:type="dxa"/>
            <w:vAlign w:val="center"/>
          </w:tcPr>
          <w:p w14:paraId="6AAC1417" w14:textId="77777777" w:rsidR="0051780C" w:rsidRPr="00552334" w:rsidRDefault="0051780C" w:rsidP="00A573C4">
            <w:pPr>
              <w:pStyle w:val="FSTableText"/>
              <w:rPr>
                <w:bCs/>
                <w:lang w:val="en-GB"/>
              </w:rPr>
            </w:pPr>
            <w:r w:rsidRPr="00552334">
              <w:rPr>
                <w:bCs/>
                <w:lang w:val="en-GB"/>
              </w:rPr>
              <w:t>6.1.1.2</w:t>
            </w:r>
          </w:p>
        </w:tc>
      </w:tr>
    </w:tbl>
    <w:p w14:paraId="194BF919" w14:textId="77777777" w:rsidR="0051780C" w:rsidRPr="00F0687E" w:rsidRDefault="0051780C" w:rsidP="0051780C">
      <w:pPr>
        <w:rPr>
          <w:sz w:val="18"/>
          <w:szCs w:val="20"/>
          <w:lang w:val="en-GB"/>
        </w:rPr>
      </w:pPr>
      <w:r w:rsidRPr="00F0687E">
        <w:rPr>
          <w:sz w:val="18"/>
          <w:szCs w:val="20"/>
          <w:vertAlign w:val="superscript"/>
          <w:lang w:val="en-GB"/>
        </w:rPr>
        <w:t xml:space="preserve">1 </w:t>
      </w:r>
      <w:r w:rsidRPr="00F0687E">
        <w:rPr>
          <w:sz w:val="18"/>
          <w:szCs w:val="20"/>
          <w:lang w:val="en-GB"/>
        </w:rPr>
        <w:t>Abbreviations: PSE = phytosterols esters, choc = chocolate, ferm = fermented, renn = renneted, prod= products, flav = flavoured, unflav = unflavoured, froz = frozen, red = reduced, MPL= maximum permitted level (concentration used in dietary exposure estimation); na = not applicable.</w:t>
      </w:r>
    </w:p>
    <w:p w14:paraId="1CD37B7E" w14:textId="402DB8C6" w:rsidR="0051780C" w:rsidRDefault="0051780C" w:rsidP="0051780C">
      <w:pPr>
        <w:rPr>
          <w:rFonts w:cs="Arial"/>
          <w:b/>
          <w:bCs/>
          <w:sz w:val="28"/>
          <w:szCs w:val="22"/>
          <w:lang w:val="en-GB" w:eastAsia="en-AU" w:bidi="ar-SA"/>
        </w:rPr>
      </w:pPr>
      <w:r w:rsidRPr="00F0687E">
        <w:rPr>
          <w:sz w:val="18"/>
          <w:szCs w:val="20"/>
          <w:vertAlign w:val="superscript"/>
          <w:lang w:val="en-GB"/>
        </w:rPr>
        <w:t xml:space="preserve">2 </w:t>
      </w:r>
      <w:r w:rsidRPr="00F0687E">
        <w:rPr>
          <w:sz w:val="18"/>
          <w:szCs w:val="20"/>
          <w:lang w:val="en-GB"/>
        </w:rPr>
        <w:t xml:space="preserve">For the scenario model, only the identified breakfast cereals and oats consumed as breakfast cereal or porridge were assumed to contain plant sterols at the specified concentration. Breakfast cereals or oats used in mixed food recipes (e.g. oats in Anzac biscuits) were assumed to not contain plant sterols. </w:t>
      </w:r>
      <w:bookmarkStart w:id="461" w:name="_Toc463507659"/>
      <w:bookmarkStart w:id="462" w:name="_Toc463881800"/>
      <w:bookmarkStart w:id="463" w:name="_Toc464569655"/>
      <w:bookmarkStart w:id="464" w:name="_Toc466903411"/>
      <w:bookmarkStart w:id="465" w:name="_Toc466909076"/>
      <w:bookmarkStart w:id="466" w:name="_Toc466986192"/>
      <w:bookmarkStart w:id="467" w:name="_Toc466986245"/>
      <w:bookmarkStart w:id="468" w:name="_Toc467052910"/>
      <w:bookmarkStart w:id="469" w:name="_Toc467064063"/>
      <w:bookmarkStart w:id="470" w:name="_Toc467064510"/>
      <w:bookmarkStart w:id="471" w:name="_Toc467077517"/>
      <w:r>
        <w:rPr>
          <w:rFonts w:cs="Arial"/>
          <w:b/>
          <w:bCs/>
          <w:sz w:val="28"/>
          <w:szCs w:val="22"/>
          <w:lang w:val="en-GB" w:eastAsia="en-AU" w:bidi="ar-SA"/>
        </w:rPr>
        <w:br w:type="page"/>
      </w:r>
    </w:p>
    <w:p w14:paraId="7835545B" w14:textId="77777777" w:rsidR="0051780C" w:rsidRPr="00552334" w:rsidRDefault="0051780C" w:rsidP="00B14D36">
      <w:pPr>
        <w:pStyle w:val="Heading2"/>
        <w:rPr>
          <w:lang w:eastAsia="en-AU"/>
        </w:rPr>
      </w:pPr>
      <w:bookmarkStart w:id="472" w:name="_Toc477274246"/>
      <w:r w:rsidRPr="00552334">
        <w:rPr>
          <w:lang w:eastAsia="en-AU"/>
        </w:rPr>
        <w:lastRenderedPageBreak/>
        <w:t>Appendix 3: Results of dietary exposure assessment</w:t>
      </w:r>
      <w:bookmarkEnd w:id="461"/>
      <w:bookmarkEnd w:id="462"/>
      <w:bookmarkEnd w:id="463"/>
      <w:bookmarkEnd w:id="464"/>
      <w:bookmarkEnd w:id="465"/>
      <w:bookmarkEnd w:id="466"/>
      <w:bookmarkEnd w:id="467"/>
      <w:bookmarkEnd w:id="468"/>
      <w:bookmarkEnd w:id="469"/>
      <w:bookmarkEnd w:id="470"/>
      <w:bookmarkEnd w:id="471"/>
      <w:bookmarkEnd w:id="472"/>
    </w:p>
    <w:p w14:paraId="30F2211E" w14:textId="77777777" w:rsidR="0051780C" w:rsidRPr="00552334" w:rsidRDefault="0051780C" w:rsidP="0051780C">
      <w:pPr>
        <w:rPr>
          <w:rFonts w:cs="Arial"/>
          <w:lang w:val="en-GB" w:eastAsia="en-AU" w:bidi="ar-SA"/>
        </w:rPr>
      </w:pPr>
      <w:r w:rsidRPr="00552334">
        <w:rPr>
          <w:rFonts w:cs="Arial"/>
          <w:lang w:val="en-GB" w:eastAsia="en-AU" w:bidi="ar-SA"/>
        </w:rPr>
        <w:t>See the main report (Section 5) for the estimated dietary exposure to plant sterols that takes into account the higher requested amount proposed to be added to breakfast cereal.</w:t>
      </w:r>
    </w:p>
    <w:p w14:paraId="53ED51B1" w14:textId="77777777" w:rsidR="0051780C" w:rsidRPr="00552334" w:rsidRDefault="0051780C" w:rsidP="0051780C">
      <w:pPr>
        <w:rPr>
          <w:rFonts w:cs="Arial"/>
          <w:lang w:val="en-GB" w:eastAsia="en-AU" w:bidi="ar-SA"/>
        </w:rPr>
      </w:pPr>
      <w:r w:rsidRPr="00552334">
        <w:rPr>
          <w:rFonts w:cs="Arial"/>
          <w:lang w:val="en-GB" w:eastAsia="en-AU" w:bidi="ar-SA"/>
        </w:rPr>
        <w:t xml:space="preserve"> </w:t>
      </w:r>
    </w:p>
    <w:p w14:paraId="5263CC51" w14:textId="77777777" w:rsidR="0051780C" w:rsidRPr="00552334" w:rsidRDefault="0051780C" w:rsidP="0051780C">
      <w:pPr>
        <w:rPr>
          <w:rFonts w:cs="Arial"/>
          <w:lang w:val="en-GB" w:eastAsia="en-AU" w:bidi="ar-SA"/>
        </w:rPr>
      </w:pPr>
      <w:r w:rsidRPr="00552334">
        <w:rPr>
          <w:rFonts w:cs="Arial"/>
          <w:lang w:val="en-GB" w:eastAsia="en-AU" w:bidi="ar-SA"/>
        </w:rPr>
        <w:t xml:space="preserve">The baseline dietary exposure estimates derived from NNSs (as indicated) is shown in the tables below. </w:t>
      </w:r>
    </w:p>
    <w:p w14:paraId="59A2112C" w14:textId="77777777" w:rsidR="0051780C" w:rsidRPr="00552334" w:rsidRDefault="0051780C" w:rsidP="0051780C">
      <w:pPr>
        <w:rPr>
          <w:rFonts w:cs="Arial"/>
          <w:b/>
          <w:lang w:val="en-GB" w:eastAsia="en-AU" w:bidi="ar-SA"/>
        </w:rPr>
      </w:pPr>
    </w:p>
    <w:p w14:paraId="3979A558" w14:textId="77777777" w:rsidR="0051780C" w:rsidRDefault="0051780C" w:rsidP="002166FB">
      <w:pPr>
        <w:pStyle w:val="FSTableTitle"/>
        <w:spacing w:after="120"/>
        <w:rPr>
          <w:lang w:val="en-GB"/>
        </w:rPr>
      </w:pPr>
      <w:r w:rsidRPr="00F0687E">
        <w:rPr>
          <w:lang w:val="en-GB"/>
        </w:rPr>
        <w:t>Table A1  Estimated baseline dietary exposure to plant sterols for Australian consumers of foods with added plant sterols - 2011-12 NNPAS, Day 1 and Day 2 average, by age</w:t>
      </w:r>
    </w:p>
    <w:tbl>
      <w:tblPr>
        <w:tblStyle w:val="TableGrid"/>
        <w:tblW w:w="0" w:type="auto"/>
        <w:tblLayout w:type="fixed"/>
        <w:tblLook w:val="04A0" w:firstRow="1" w:lastRow="0" w:firstColumn="1" w:lastColumn="0" w:noHBand="0" w:noVBand="1"/>
        <w:tblCaption w:val="Existing and new classification names and codes used for the dietary exposure assessment1 "/>
      </w:tblPr>
      <w:tblGrid>
        <w:gridCol w:w="1951"/>
        <w:gridCol w:w="1418"/>
        <w:gridCol w:w="1701"/>
        <w:gridCol w:w="850"/>
        <w:gridCol w:w="1276"/>
        <w:gridCol w:w="850"/>
        <w:gridCol w:w="1240"/>
      </w:tblGrid>
      <w:tr w:rsidR="0051780C" w:rsidRPr="00552334" w14:paraId="3D76C789" w14:textId="77777777" w:rsidTr="00A573C4">
        <w:trPr>
          <w:trHeight w:val="397"/>
          <w:tblHeader/>
        </w:trPr>
        <w:tc>
          <w:tcPr>
            <w:tcW w:w="1951" w:type="dxa"/>
            <w:vMerge w:val="restart"/>
            <w:vAlign w:val="center"/>
          </w:tcPr>
          <w:p w14:paraId="58EF0407" w14:textId="77777777" w:rsidR="0051780C" w:rsidRPr="00F0687E" w:rsidRDefault="0051780C" w:rsidP="00A573C4">
            <w:pPr>
              <w:pStyle w:val="FSTableText"/>
              <w:rPr>
                <w:b/>
                <w:lang w:val="en-GB" w:eastAsia="en-AU" w:bidi="ar-SA"/>
              </w:rPr>
            </w:pPr>
            <w:r w:rsidRPr="00F0687E">
              <w:rPr>
                <w:b/>
                <w:lang w:val="en-GB" w:eastAsia="en-AU" w:bidi="ar-SA"/>
              </w:rPr>
              <w:t>Age Group</w:t>
            </w:r>
          </w:p>
          <w:p w14:paraId="647A6F5C"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8" w:type="dxa"/>
            <w:vMerge w:val="restart"/>
            <w:vAlign w:val="center"/>
          </w:tcPr>
          <w:p w14:paraId="480F0F10"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701" w:type="dxa"/>
            <w:vMerge w:val="restart"/>
            <w:vAlign w:val="center"/>
          </w:tcPr>
          <w:p w14:paraId="04C1AF35" w14:textId="77777777" w:rsidR="0051780C" w:rsidRPr="00F0687E" w:rsidRDefault="0051780C" w:rsidP="00A573C4">
            <w:pPr>
              <w:pStyle w:val="FSTableText"/>
              <w:rPr>
                <w:b/>
                <w:lang w:val="en-GB" w:eastAsia="en-AU" w:bidi="ar-SA"/>
              </w:rPr>
            </w:pPr>
            <w:r w:rsidRPr="00F0687E">
              <w:rPr>
                <w:b/>
                <w:lang w:val="en-GB" w:eastAsia="en-AU" w:bidi="ar-SA"/>
              </w:rPr>
              <w:t>Consumers as a proportion of respondents</w:t>
            </w:r>
          </w:p>
        </w:tc>
        <w:tc>
          <w:tcPr>
            <w:tcW w:w="2126" w:type="dxa"/>
            <w:gridSpan w:val="2"/>
            <w:vAlign w:val="center"/>
          </w:tcPr>
          <w:p w14:paraId="156B484B" w14:textId="05C4F618" w:rsidR="0051780C" w:rsidRPr="00F0687E" w:rsidRDefault="0051780C" w:rsidP="00A573C4">
            <w:pPr>
              <w:pStyle w:val="FSTableText"/>
              <w:rPr>
                <w:b/>
                <w:lang w:val="en-GB" w:eastAsia="en-AU" w:bidi="ar-SA"/>
              </w:rPr>
            </w:pPr>
            <w:r w:rsidRPr="00F0687E">
              <w:rPr>
                <w:b/>
                <w:lang w:val="en-GB" w:eastAsia="en-AU" w:bidi="ar-SA"/>
              </w:rPr>
              <w:t>Mean exposure</w:t>
            </w:r>
            <w:r w:rsidR="006032CB" w:rsidRPr="006032CB">
              <w:rPr>
                <w:b/>
                <w:vertAlign w:val="superscript"/>
                <w:lang w:val="en-GB" w:eastAsia="en-AU" w:bidi="ar-SA"/>
              </w:rPr>
              <w:t>#</w:t>
            </w:r>
          </w:p>
        </w:tc>
        <w:tc>
          <w:tcPr>
            <w:tcW w:w="2090" w:type="dxa"/>
            <w:gridSpan w:val="2"/>
            <w:vAlign w:val="center"/>
          </w:tcPr>
          <w:p w14:paraId="4FC11606" w14:textId="78A7FD62" w:rsidR="0051780C" w:rsidRPr="00F0687E" w:rsidRDefault="0051780C" w:rsidP="00A573C4">
            <w:pPr>
              <w:pStyle w:val="FSTableText"/>
              <w:rPr>
                <w:b/>
                <w:lang w:val="en-GB" w:eastAsia="en-AU" w:bidi="ar-SA"/>
              </w:rPr>
            </w:pPr>
            <w:r w:rsidRPr="00F0687E">
              <w:rPr>
                <w:b/>
                <w:lang w:val="en-GB" w:eastAsia="en-AU" w:bidi="ar-SA"/>
              </w:rPr>
              <w:t>P90 exposure</w:t>
            </w:r>
            <w:r w:rsidR="006032CB" w:rsidRPr="006032CB">
              <w:rPr>
                <w:b/>
                <w:vertAlign w:val="superscript"/>
                <w:lang w:val="en-GB" w:eastAsia="en-AU" w:bidi="ar-SA"/>
              </w:rPr>
              <w:t>#</w:t>
            </w:r>
          </w:p>
        </w:tc>
      </w:tr>
      <w:tr w:rsidR="0051780C" w:rsidRPr="00552334" w14:paraId="06DF7DE6" w14:textId="77777777" w:rsidTr="00A573C4">
        <w:trPr>
          <w:trHeight w:val="397"/>
          <w:tblHeader/>
        </w:trPr>
        <w:tc>
          <w:tcPr>
            <w:tcW w:w="1951" w:type="dxa"/>
            <w:vMerge/>
          </w:tcPr>
          <w:p w14:paraId="10D1A711" w14:textId="77777777" w:rsidR="0051780C" w:rsidRPr="00F0687E" w:rsidRDefault="0051780C" w:rsidP="00A573C4">
            <w:pPr>
              <w:pStyle w:val="FSTableText"/>
              <w:rPr>
                <w:b/>
                <w:lang w:val="en-GB" w:eastAsia="en-AU" w:bidi="ar-SA"/>
              </w:rPr>
            </w:pPr>
          </w:p>
        </w:tc>
        <w:tc>
          <w:tcPr>
            <w:tcW w:w="1418" w:type="dxa"/>
            <w:vMerge/>
            <w:vAlign w:val="center"/>
          </w:tcPr>
          <w:p w14:paraId="5602F7EA" w14:textId="77777777" w:rsidR="0051780C" w:rsidRPr="00F0687E" w:rsidRDefault="0051780C" w:rsidP="00A573C4">
            <w:pPr>
              <w:pStyle w:val="FSTableText"/>
              <w:rPr>
                <w:b/>
                <w:lang w:val="en-GB" w:eastAsia="en-AU" w:bidi="ar-SA"/>
              </w:rPr>
            </w:pPr>
          </w:p>
        </w:tc>
        <w:tc>
          <w:tcPr>
            <w:tcW w:w="1701" w:type="dxa"/>
            <w:vMerge/>
            <w:vAlign w:val="center"/>
          </w:tcPr>
          <w:p w14:paraId="4AEDA373" w14:textId="77777777" w:rsidR="0051780C" w:rsidRPr="00F0687E" w:rsidRDefault="0051780C" w:rsidP="00A573C4">
            <w:pPr>
              <w:pStyle w:val="FSTableText"/>
              <w:rPr>
                <w:b/>
                <w:lang w:val="en-GB" w:eastAsia="en-AU" w:bidi="ar-SA"/>
              </w:rPr>
            </w:pPr>
          </w:p>
        </w:tc>
        <w:tc>
          <w:tcPr>
            <w:tcW w:w="850" w:type="dxa"/>
            <w:vAlign w:val="center"/>
          </w:tcPr>
          <w:p w14:paraId="19A44BA5"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76" w:type="dxa"/>
            <w:vAlign w:val="center"/>
          </w:tcPr>
          <w:p w14:paraId="4EF6BCC0"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c>
          <w:tcPr>
            <w:tcW w:w="850" w:type="dxa"/>
            <w:vAlign w:val="center"/>
          </w:tcPr>
          <w:p w14:paraId="6AB3FA59"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40" w:type="dxa"/>
            <w:vAlign w:val="center"/>
          </w:tcPr>
          <w:p w14:paraId="1598180E"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r>
      <w:tr w:rsidR="0051780C" w:rsidRPr="00552334" w14:paraId="76BD78AC" w14:textId="77777777" w:rsidTr="00A573C4">
        <w:trPr>
          <w:trHeight w:val="510"/>
        </w:trPr>
        <w:tc>
          <w:tcPr>
            <w:tcW w:w="1951" w:type="dxa"/>
            <w:vAlign w:val="center"/>
          </w:tcPr>
          <w:p w14:paraId="46ED857F" w14:textId="6DE8A427" w:rsidR="0051780C" w:rsidRPr="00F0687E" w:rsidRDefault="0051780C" w:rsidP="00A573C4">
            <w:pPr>
              <w:pStyle w:val="FSTableText"/>
              <w:rPr>
                <w:lang w:val="en-GB" w:eastAsia="en-AU" w:bidi="ar-SA"/>
              </w:rPr>
            </w:pPr>
            <w:r w:rsidRPr="00F0687E">
              <w:rPr>
                <w:lang w:val="en-GB" w:eastAsia="en-AU" w:bidi="ar-SA"/>
              </w:rPr>
              <w:t>2</w:t>
            </w:r>
            <w:r w:rsidR="00724D8F">
              <w:rPr>
                <w:lang w:val="en-GB" w:eastAsia="en-AU" w:bidi="ar-SA"/>
              </w:rPr>
              <w:t>–</w:t>
            </w:r>
            <w:r w:rsidRPr="00F0687E">
              <w:rPr>
                <w:lang w:val="en-GB" w:eastAsia="en-AU" w:bidi="ar-SA"/>
              </w:rPr>
              <w:t>4 years</w:t>
            </w:r>
          </w:p>
          <w:p w14:paraId="212721AB" w14:textId="77777777" w:rsidR="0051780C" w:rsidRPr="00F0687E" w:rsidRDefault="0051780C" w:rsidP="00A573C4">
            <w:pPr>
              <w:pStyle w:val="FSTableText"/>
              <w:rPr>
                <w:lang w:val="en-GB" w:eastAsia="en-AU" w:bidi="ar-SA"/>
              </w:rPr>
            </w:pPr>
            <w:r w:rsidRPr="00F0687E">
              <w:rPr>
                <w:lang w:val="en-GB" w:eastAsia="en-AU" w:bidi="ar-SA"/>
              </w:rPr>
              <w:t>(301)</w:t>
            </w:r>
          </w:p>
        </w:tc>
        <w:tc>
          <w:tcPr>
            <w:tcW w:w="1418" w:type="dxa"/>
            <w:vAlign w:val="center"/>
          </w:tcPr>
          <w:p w14:paraId="7543705D" w14:textId="77777777" w:rsidR="0051780C" w:rsidRPr="00F0687E" w:rsidRDefault="0051780C" w:rsidP="00A573C4">
            <w:pPr>
              <w:pStyle w:val="FSTableText"/>
              <w:rPr>
                <w:lang w:val="en-GB" w:eastAsia="en-AU" w:bidi="ar-SA"/>
              </w:rPr>
            </w:pPr>
            <w:r w:rsidRPr="00F0687E">
              <w:rPr>
                <w:lang w:val="en-GB" w:eastAsia="en-AU" w:bidi="ar-SA"/>
              </w:rPr>
              <w:t xml:space="preserve">    7</w:t>
            </w:r>
          </w:p>
        </w:tc>
        <w:tc>
          <w:tcPr>
            <w:tcW w:w="1701" w:type="dxa"/>
            <w:vAlign w:val="center"/>
          </w:tcPr>
          <w:p w14:paraId="373A986C" w14:textId="77777777" w:rsidR="0051780C" w:rsidRPr="00F0687E" w:rsidRDefault="0051780C" w:rsidP="00A573C4">
            <w:pPr>
              <w:pStyle w:val="FSTableText"/>
              <w:rPr>
                <w:lang w:val="en-GB" w:eastAsia="en-AU" w:bidi="ar-SA"/>
              </w:rPr>
            </w:pPr>
            <w:r w:rsidRPr="00F0687E">
              <w:rPr>
                <w:lang w:val="en-GB" w:eastAsia="en-AU" w:bidi="ar-SA"/>
              </w:rPr>
              <w:t>2.2%</w:t>
            </w:r>
          </w:p>
        </w:tc>
        <w:tc>
          <w:tcPr>
            <w:tcW w:w="850" w:type="dxa"/>
            <w:shd w:val="clear" w:color="auto" w:fill="FFFFFF" w:themeFill="background1"/>
            <w:vAlign w:val="center"/>
          </w:tcPr>
          <w:p w14:paraId="5DF62BA4" w14:textId="77777777" w:rsidR="0051780C" w:rsidRPr="00F0687E" w:rsidRDefault="0051780C" w:rsidP="00A573C4">
            <w:pPr>
              <w:pStyle w:val="FSTableText"/>
              <w:rPr>
                <w:lang w:val="en-GB" w:eastAsia="en-AU" w:bidi="ar-SA"/>
              </w:rPr>
            </w:pPr>
            <w:r w:rsidRPr="00F0687E">
              <w:rPr>
                <w:lang w:val="en-GB" w:eastAsia="en-AU" w:bidi="ar-SA"/>
              </w:rPr>
              <w:t>0.25</w:t>
            </w:r>
          </w:p>
        </w:tc>
        <w:tc>
          <w:tcPr>
            <w:tcW w:w="1276" w:type="dxa"/>
            <w:shd w:val="clear" w:color="auto" w:fill="FFFFFF" w:themeFill="background1"/>
            <w:vAlign w:val="center"/>
          </w:tcPr>
          <w:p w14:paraId="47F52C90" w14:textId="77777777" w:rsidR="0051780C" w:rsidRPr="00F0687E" w:rsidRDefault="0051780C" w:rsidP="00A573C4">
            <w:pPr>
              <w:pStyle w:val="FSTableText"/>
              <w:rPr>
                <w:lang w:val="en-GB" w:eastAsia="en-AU" w:bidi="ar-SA"/>
              </w:rPr>
            </w:pPr>
            <w:r w:rsidRPr="00F0687E">
              <w:rPr>
                <w:lang w:val="en-GB" w:eastAsia="en-AU" w:bidi="ar-SA"/>
              </w:rPr>
              <w:t>0.016</w:t>
            </w:r>
          </w:p>
        </w:tc>
        <w:tc>
          <w:tcPr>
            <w:tcW w:w="850" w:type="dxa"/>
            <w:shd w:val="clear" w:color="auto" w:fill="FFFFFF" w:themeFill="background1"/>
            <w:vAlign w:val="center"/>
          </w:tcPr>
          <w:p w14:paraId="23BB5F10" w14:textId="77777777" w:rsidR="0051780C" w:rsidRPr="00F0687E" w:rsidRDefault="0051780C" w:rsidP="00A573C4">
            <w:pPr>
              <w:pStyle w:val="FSTableText"/>
              <w:rPr>
                <w:lang w:val="en-GB" w:eastAsia="en-AU" w:bidi="ar-SA"/>
              </w:rPr>
            </w:pPr>
            <w:r w:rsidRPr="00F0687E">
              <w:rPr>
                <w:lang w:val="en-GB" w:eastAsia="en-AU" w:bidi="ar-SA"/>
              </w:rPr>
              <w:t>0.49</w:t>
            </w:r>
          </w:p>
        </w:tc>
        <w:tc>
          <w:tcPr>
            <w:tcW w:w="1240" w:type="dxa"/>
            <w:shd w:val="clear" w:color="auto" w:fill="FFFFFF" w:themeFill="background1"/>
            <w:vAlign w:val="center"/>
          </w:tcPr>
          <w:p w14:paraId="663ABEFA" w14:textId="77777777" w:rsidR="0051780C" w:rsidRPr="00F0687E" w:rsidRDefault="0051780C" w:rsidP="00A573C4">
            <w:pPr>
              <w:pStyle w:val="FSTableText"/>
              <w:rPr>
                <w:lang w:val="en-GB" w:eastAsia="en-AU" w:bidi="ar-SA"/>
              </w:rPr>
            </w:pPr>
            <w:r w:rsidRPr="00F0687E">
              <w:rPr>
                <w:lang w:val="en-GB" w:eastAsia="en-AU" w:bidi="ar-SA"/>
              </w:rPr>
              <w:t>0.026</w:t>
            </w:r>
          </w:p>
        </w:tc>
      </w:tr>
      <w:tr w:rsidR="0051780C" w:rsidRPr="00552334" w14:paraId="240E1B40" w14:textId="77777777" w:rsidTr="00A573C4">
        <w:trPr>
          <w:trHeight w:val="510"/>
        </w:trPr>
        <w:tc>
          <w:tcPr>
            <w:tcW w:w="1951" w:type="dxa"/>
            <w:vAlign w:val="center"/>
          </w:tcPr>
          <w:p w14:paraId="5DCB685A" w14:textId="50FEEE5E" w:rsidR="0051780C" w:rsidRPr="00F0687E" w:rsidRDefault="0051780C" w:rsidP="00A573C4">
            <w:pPr>
              <w:pStyle w:val="FSTableText"/>
              <w:rPr>
                <w:lang w:val="en-GB" w:eastAsia="en-AU" w:bidi="ar-SA"/>
              </w:rPr>
            </w:pPr>
            <w:r w:rsidRPr="00F0687E">
              <w:rPr>
                <w:lang w:val="en-GB" w:eastAsia="en-AU" w:bidi="ar-SA"/>
              </w:rPr>
              <w:t>5</w:t>
            </w:r>
            <w:r w:rsidR="00724D8F">
              <w:rPr>
                <w:lang w:val="en-GB" w:eastAsia="en-AU" w:bidi="ar-SA"/>
              </w:rPr>
              <w:t>–</w:t>
            </w:r>
            <w:r w:rsidRPr="00F0687E">
              <w:rPr>
                <w:lang w:val="en-GB" w:eastAsia="en-AU" w:bidi="ar-SA"/>
              </w:rPr>
              <w:t>12 years</w:t>
            </w:r>
          </w:p>
          <w:p w14:paraId="5F6F26ED" w14:textId="77777777" w:rsidR="0051780C" w:rsidRPr="00F0687E" w:rsidRDefault="0051780C" w:rsidP="00A573C4">
            <w:pPr>
              <w:pStyle w:val="FSTableText"/>
              <w:rPr>
                <w:lang w:val="en-GB" w:eastAsia="en-AU" w:bidi="ar-SA"/>
              </w:rPr>
            </w:pPr>
            <w:r w:rsidRPr="00F0687E">
              <w:rPr>
                <w:lang w:val="en-GB" w:eastAsia="en-AU" w:bidi="ar-SA"/>
              </w:rPr>
              <w:t>(812)</w:t>
            </w:r>
          </w:p>
        </w:tc>
        <w:tc>
          <w:tcPr>
            <w:tcW w:w="1418" w:type="dxa"/>
            <w:vAlign w:val="center"/>
          </w:tcPr>
          <w:p w14:paraId="463530F5" w14:textId="77777777" w:rsidR="0051780C" w:rsidRPr="00F0687E" w:rsidRDefault="0051780C" w:rsidP="00A573C4">
            <w:pPr>
              <w:pStyle w:val="FSTableText"/>
              <w:rPr>
                <w:lang w:val="en-GB" w:eastAsia="en-AU" w:bidi="ar-SA"/>
              </w:rPr>
            </w:pPr>
            <w:r w:rsidRPr="00F0687E">
              <w:rPr>
                <w:lang w:val="en-GB" w:eastAsia="en-AU" w:bidi="ar-SA"/>
              </w:rPr>
              <w:t xml:space="preserve">  22</w:t>
            </w:r>
          </w:p>
        </w:tc>
        <w:tc>
          <w:tcPr>
            <w:tcW w:w="1701" w:type="dxa"/>
            <w:vAlign w:val="center"/>
          </w:tcPr>
          <w:p w14:paraId="01A3FF33" w14:textId="77777777" w:rsidR="0051780C" w:rsidRPr="00F0687E" w:rsidRDefault="0051780C" w:rsidP="00A573C4">
            <w:pPr>
              <w:pStyle w:val="FSTableText"/>
              <w:rPr>
                <w:lang w:val="en-GB" w:eastAsia="en-AU" w:bidi="ar-SA"/>
              </w:rPr>
            </w:pPr>
            <w:r w:rsidRPr="00F0687E">
              <w:rPr>
                <w:lang w:val="en-GB" w:eastAsia="en-AU" w:bidi="ar-SA"/>
              </w:rPr>
              <w:t>2.7%</w:t>
            </w:r>
          </w:p>
        </w:tc>
        <w:tc>
          <w:tcPr>
            <w:tcW w:w="850" w:type="dxa"/>
            <w:shd w:val="clear" w:color="auto" w:fill="FFFFFF" w:themeFill="background1"/>
            <w:vAlign w:val="center"/>
          </w:tcPr>
          <w:p w14:paraId="0B81F2FD" w14:textId="77777777" w:rsidR="0051780C" w:rsidRPr="00F0687E" w:rsidRDefault="0051780C" w:rsidP="00A573C4">
            <w:pPr>
              <w:pStyle w:val="FSTableText"/>
              <w:rPr>
                <w:lang w:val="en-GB" w:eastAsia="en-AU" w:bidi="ar-SA"/>
              </w:rPr>
            </w:pPr>
            <w:r w:rsidRPr="00F0687E">
              <w:rPr>
                <w:lang w:val="en-GB" w:eastAsia="en-AU" w:bidi="ar-SA"/>
              </w:rPr>
              <w:t>0.35</w:t>
            </w:r>
          </w:p>
        </w:tc>
        <w:tc>
          <w:tcPr>
            <w:tcW w:w="1276" w:type="dxa"/>
            <w:shd w:val="clear" w:color="auto" w:fill="FFFFFF" w:themeFill="background1"/>
            <w:vAlign w:val="center"/>
          </w:tcPr>
          <w:p w14:paraId="135394E1" w14:textId="77777777" w:rsidR="0051780C" w:rsidRPr="00F0687E" w:rsidRDefault="0051780C" w:rsidP="00A573C4">
            <w:pPr>
              <w:pStyle w:val="FSTableText"/>
              <w:rPr>
                <w:lang w:val="en-GB" w:eastAsia="en-AU" w:bidi="ar-SA"/>
              </w:rPr>
            </w:pPr>
            <w:r w:rsidRPr="00F0687E">
              <w:rPr>
                <w:lang w:val="en-GB" w:eastAsia="en-AU" w:bidi="ar-SA"/>
              </w:rPr>
              <w:t>0.014</w:t>
            </w:r>
          </w:p>
        </w:tc>
        <w:tc>
          <w:tcPr>
            <w:tcW w:w="850" w:type="dxa"/>
            <w:shd w:val="clear" w:color="auto" w:fill="FFFFFF" w:themeFill="background1"/>
            <w:vAlign w:val="center"/>
          </w:tcPr>
          <w:p w14:paraId="088326DD" w14:textId="77777777" w:rsidR="0051780C" w:rsidRPr="00F0687E" w:rsidRDefault="0051780C" w:rsidP="00A573C4">
            <w:pPr>
              <w:pStyle w:val="FSTableText"/>
              <w:rPr>
                <w:lang w:val="en-GB" w:eastAsia="en-AU" w:bidi="ar-SA"/>
              </w:rPr>
            </w:pPr>
            <w:r w:rsidRPr="00F0687E">
              <w:rPr>
                <w:lang w:val="en-GB" w:eastAsia="en-AU" w:bidi="ar-SA"/>
              </w:rPr>
              <w:t>0.78</w:t>
            </w:r>
          </w:p>
        </w:tc>
        <w:tc>
          <w:tcPr>
            <w:tcW w:w="1240" w:type="dxa"/>
            <w:shd w:val="clear" w:color="auto" w:fill="FFFFFF" w:themeFill="background1"/>
            <w:vAlign w:val="center"/>
          </w:tcPr>
          <w:p w14:paraId="2A76A113" w14:textId="77777777" w:rsidR="0051780C" w:rsidRPr="00F0687E" w:rsidRDefault="0051780C" w:rsidP="00A573C4">
            <w:pPr>
              <w:pStyle w:val="FSTableText"/>
              <w:rPr>
                <w:lang w:val="en-GB" w:eastAsia="en-AU" w:bidi="ar-SA"/>
              </w:rPr>
            </w:pPr>
            <w:r w:rsidRPr="00F0687E">
              <w:rPr>
                <w:lang w:val="en-GB" w:eastAsia="en-AU" w:bidi="ar-SA"/>
              </w:rPr>
              <w:t>0.039</w:t>
            </w:r>
          </w:p>
        </w:tc>
      </w:tr>
      <w:tr w:rsidR="0051780C" w:rsidRPr="00552334" w14:paraId="0D45E081" w14:textId="77777777" w:rsidTr="00A573C4">
        <w:trPr>
          <w:trHeight w:val="510"/>
        </w:trPr>
        <w:tc>
          <w:tcPr>
            <w:tcW w:w="1951" w:type="dxa"/>
            <w:vAlign w:val="center"/>
          </w:tcPr>
          <w:p w14:paraId="4C383111" w14:textId="6E99E746" w:rsidR="0051780C" w:rsidRPr="00F0687E" w:rsidRDefault="0051780C" w:rsidP="00A573C4">
            <w:pPr>
              <w:pStyle w:val="FSTableText"/>
              <w:rPr>
                <w:lang w:val="en-GB" w:eastAsia="en-AU" w:bidi="ar-SA"/>
              </w:rPr>
            </w:pPr>
            <w:r w:rsidRPr="00F0687E">
              <w:rPr>
                <w:lang w:val="en-GB" w:eastAsia="en-AU" w:bidi="ar-SA"/>
              </w:rPr>
              <w:t>13</w:t>
            </w:r>
            <w:r w:rsidR="00724D8F">
              <w:rPr>
                <w:lang w:val="en-GB" w:eastAsia="en-AU" w:bidi="ar-SA"/>
              </w:rPr>
              <w:t>–</w:t>
            </w:r>
            <w:r w:rsidRPr="00F0687E">
              <w:rPr>
                <w:lang w:val="en-GB" w:eastAsia="en-AU" w:bidi="ar-SA"/>
              </w:rPr>
              <w:t>17 years</w:t>
            </w:r>
          </w:p>
          <w:p w14:paraId="22BF2DF6" w14:textId="77777777" w:rsidR="0051780C" w:rsidRPr="00F0687E" w:rsidRDefault="0051780C" w:rsidP="00A573C4">
            <w:pPr>
              <w:pStyle w:val="FSTableText"/>
              <w:rPr>
                <w:lang w:val="en-GB" w:eastAsia="en-AU" w:bidi="ar-SA"/>
              </w:rPr>
            </w:pPr>
            <w:r w:rsidRPr="00F0687E">
              <w:rPr>
                <w:lang w:val="en-GB" w:eastAsia="en-AU" w:bidi="ar-SA"/>
              </w:rPr>
              <w:t>(494)</w:t>
            </w:r>
          </w:p>
        </w:tc>
        <w:tc>
          <w:tcPr>
            <w:tcW w:w="1418" w:type="dxa"/>
            <w:vAlign w:val="center"/>
          </w:tcPr>
          <w:p w14:paraId="1B52EAE5" w14:textId="77777777" w:rsidR="0051780C" w:rsidRPr="00F0687E" w:rsidRDefault="0051780C" w:rsidP="00A573C4">
            <w:pPr>
              <w:pStyle w:val="FSTableText"/>
              <w:rPr>
                <w:lang w:val="en-GB" w:eastAsia="en-AU" w:bidi="ar-SA"/>
              </w:rPr>
            </w:pPr>
            <w:r w:rsidRPr="00F0687E">
              <w:rPr>
                <w:lang w:val="en-GB" w:eastAsia="en-AU" w:bidi="ar-SA"/>
              </w:rPr>
              <w:t xml:space="preserve">  15</w:t>
            </w:r>
          </w:p>
        </w:tc>
        <w:tc>
          <w:tcPr>
            <w:tcW w:w="1701" w:type="dxa"/>
            <w:vAlign w:val="center"/>
          </w:tcPr>
          <w:p w14:paraId="570A1354" w14:textId="77777777" w:rsidR="0051780C" w:rsidRPr="00F0687E" w:rsidRDefault="0051780C" w:rsidP="00A573C4">
            <w:pPr>
              <w:pStyle w:val="FSTableText"/>
              <w:rPr>
                <w:lang w:val="en-GB" w:eastAsia="en-AU" w:bidi="ar-SA"/>
              </w:rPr>
            </w:pPr>
            <w:r w:rsidRPr="00F0687E">
              <w:rPr>
                <w:lang w:val="en-GB" w:eastAsia="en-AU" w:bidi="ar-SA"/>
              </w:rPr>
              <w:t>3.0%</w:t>
            </w:r>
          </w:p>
        </w:tc>
        <w:tc>
          <w:tcPr>
            <w:tcW w:w="850" w:type="dxa"/>
            <w:shd w:val="clear" w:color="auto" w:fill="FFFFFF" w:themeFill="background1"/>
            <w:vAlign w:val="center"/>
          </w:tcPr>
          <w:p w14:paraId="389469F0" w14:textId="77777777" w:rsidR="0051780C" w:rsidRPr="00F0687E" w:rsidRDefault="0051780C" w:rsidP="00A573C4">
            <w:pPr>
              <w:pStyle w:val="FSTableText"/>
              <w:rPr>
                <w:lang w:val="en-GB" w:eastAsia="en-AU" w:bidi="ar-SA"/>
              </w:rPr>
            </w:pPr>
            <w:r w:rsidRPr="00F0687E">
              <w:rPr>
                <w:lang w:val="en-GB" w:eastAsia="en-AU" w:bidi="ar-SA"/>
              </w:rPr>
              <w:t>0.98</w:t>
            </w:r>
          </w:p>
        </w:tc>
        <w:tc>
          <w:tcPr>
            <w:tcW w:w="1276" w:type="dxa"/>
            <w:shd w:val="clear" w:color="auto" w:fill="FFFFFF" w:themeFill="background1"/>
            <w:vAlign w:val="center"/>
          </w:tcPr>
          <w:p w14:paraId="30B0EFA9" w14:textId="77777777" w:rsidR="0051780C" w:rsidRPr="00F0687E" w:rsidRDefault="0051780C" w:rsidP="00A573C4">
            <w:pPr>
              <w:pStyle w:val="FSTableText"/>
              <w:rPr>
                <w:lang w:val="en-GB" w:eastAsia="en-AU" w:bidi="ar-SA"/>
              </w:rPr>
            </w:pPr>
            <w:r w:rsidRPr="00F0687E">
              <w:rPr>
                <w:lang w:val="en-GB" w:eastAsia="en-AU" w:bidi="ar-SA"/>
              </w:rPr>
              <w:t>0.015</w:t>
            </w:r>
          </w:p>
        </w:tc>
        <w:tc>
          <w:tcPr>
            <w:tcW w:w="850" w:type="dxa"/>
            <w:shd w:val="clear" w:color="auto" w:fill="FFFFFF" w:themeFill="background1"/>
            <w:vAlign w:val="center"/>
          </w:tcPr>
          <w:p w14:paraId="0EE6E736" w14:textId="77777777" w:rsidR="0051780C" w:rsidRPr="00F0687E" w:rsidRDefault="0051780C" w:rsidP="00A573C4">
            <w:pPr>
              <w:pStyle w:val="FSTableText"/>
              <w:rPr>
                <w:lang w:val="en-GB" w:eastAsia="en-AU" w:bidi="ar-SA"/>
              </w:rPr>
            </w:pPr>
            <w:r w:rsidRPr="00F0687E">
              <w:rPr>
                <w:lang w:val="en-GB" w:eastAsia="en-AU" w:bidi="ar-SA"/>
              </w:rPr>
              <w:t>1.95</w:t>
            </w:r>
          </w:p>
        </w:tc>
        <w:tc>
          <w:tcPr>
            <w:tcW w:w="1240" w:type="dxa"/>
            <w:shd w:val="clear" w:color="auto" w:fill="FFFFFF" w:themeFill="background1"/>
            <w:vAlign w:val="center"/>
          </w:tcPr>
          <w:p w14:paraId="4B40BAAA" w14:textId="77777777" w:rsidR="0051780C" w:rsidRPr="00F0687E" w:rsidRDefault="0051780C" w:rsidP="00A573C4">
            <w:pPr>
              <w:pStyle w:val="FSTableText"/>
              <w:rPr>
                <w:lang w:val="en-GB" w:eastAsia="en-AU" w:bidi="ar-SA"/>
              </w:rPr>
            </w:pPr>
            <w:r w:rsidRPr="00F0687E">
              <w:rPr>
                <w:lang w:val="en-GB" w:eastAsia="en-AU" w:bidi="ar-SA"/>
              </w:rPr>
              <w:t>0.030</w:t>
            </w:r>
          </w:p>
        </w:tc>
      </w:tr>
      <w:tr w:rsidR="0051780C" w:rsidRPr="00552334" w14:paraId="4482F80E" w14:textId="77777777" w:rsidTr="00A573C4">
        <w:trPr>
          <w:trHeight w:val="510"/>
        </w:trPr>
        <w:tc>
          <w:tcPr>
            <w:tcW w:w="1951" w:type="dxa"/>
            <w:vAlign w:val="center"/>
          </w:tcPr>
          <w:p w14:paraId="4CC2790C" w14:textId="61129EC8" w:rsidR="0051780C" w:rsidRPr="00F0687E" w:rsidRDefault="0051780C" w:rsidP="00A573C4">
            <w:pPr>
              <w:pStyle w:val="FSTableText"/>
              <w:rPr>
                <w:lang w:val="en-GB" w:eastAsia="en-AU" w:bidi="ar-SA"/>
              </w:rPr>
            </w:pPr>
            <w:r w:rsidRPr="00F0687E">
              <w:rPr>
                <w:lang w:val="en-GB" w:eastAsia="en-AU" w:bidi="ar-SA"/>
              </w:rPr>
              <w:t>18</w:t>
            </w:r>
            <w:r w:rsidR="00724D8F">
              <w:rPr>
                <w:lang w:val="en-GB" w:eastAsia="en-AU" w:bidi="ar-SA"/>
              </w:rPr>
              <w:t>–</w:t>
            </w:r>
            <w:r w:rsidRPr="00F0687E">
              <w:rPr>
                <w:lang w:val="en-GB" w:eastAsia="en-AU" w:bidi="ar-SA"/>
              </w:rPr>
              <w:t>44 years</w:t>
            </w:r>
          </w:p>
          <w:p w14:paraId="5BAAA670" w14:textId="77777777" w:rsidR="0051780C" w:rsidRPr="00F0687E" w:rsidRDefault="0051780C" w:rsidP="00A573C4">
            <w:pPr>
              <w:pStyle w:val="FSTableText"/>
              <w:rPr>
                <w:lang w:val="en-GB" w:eastAsia="en-AU" w:bidi="ar-SA"/>
              </w:rPr>
            </w:pPr>
            <w:r w:rsidRPr="00F0687E">
              <w:rPr>
                <w:lang w:val="en-GB" w:eastAsia="en-AU" w:bidi="ar-SA"/>
              </w:rPr>
              <w:t>(3066)</w:t>
            </w:r>
          </w:p>
        </w:tc>
        <w:tc>
          <w:tcPr>
            <w:tcW w:w="1418" w:type="dxa"/>
            <w:vAlign w:val="center"/>
          </w:tcPr>
          <w:p w14:paraId="3CBFF1CD" w14:textId="77777777" w:rsidR="0051780C" w:rsidRPr="00F0687E" w:rsidRDefault="0051780C" w:rsidP="00A573C4">
            <w:pPr>
              <w:pStyle w:val="FSTableText"/>
              <w:rPr>
                <w:lang w:val="en-GB" w:eastAsia="en-AU" w:bidi="ar-SA"/>
              </w:rPr>
            </w:pPr>
            <w:r w:rsidRPr="00F0687E">
              <w:rPr>
                <w:lang w:val="en-GB" w:eastAsia="en-AU" w:bidi="ar-SA"/>
              </w:rPr>
              <w:t xml:space="preserve">  81</w:t>
            </w:r>
          </w:p>
        </w:tc>
        <w:tc>
          <w:tcPr>
            <w:tcW w:w="1701" w:type="dxa"/>
            <w:vAlign w:val="center"/>
          </w:tcPr>
          <w:p w14:paraId="2AAC1A85" w14:textId="77777777" w:rsidR="0051780C" w:rsidRPr="00F0687E" w:rsidRDefault="0051780C" w:rsidP="00A573C4">
            <w:pPr>
              <w:pStyle w:val="FSTableText"/>
              <w:rPr>
                <w:lang w:val="en-GB" w:eastAsia="en-AU" w:bidi="ar-SA"/>
              </w:rPr>
            </w:pPr>
            <w:r w:rsidRPr="00F0687E">
              <w:rPr>
                <w:lang w:val="en-GB" w:eastAsia="en-AU" w:bidi="ar-SA"/>
              </w:rPr>
              <w:t>2.6%</w:t>
            </w:r>
          </w:p>
        </w:tc>
        <w:tc>
          <w:tcPr>
            <w:tcW w:w="850" w:type="dxa"/>
            <w:shd w:val="clear" w:color="auto" w:fill="FFFFFF" w:themeFill="background1"/>
            <w:vAlign w:val="center"/>
          </w:tcPr>
          <w:p w14:paraId="27821A03" w14:textId="77777777" w:rsidR="0051780C" w:rsidRPr="00F0687E" w:rsidRDefault="0051780C" w:rsidP="00A573C4">
            <w:pPr>
              <w:pStyle w:val="FSTableText"/>
              <w:rPr>
                <w:lang w:val="en-GB" w:eastAsia="en-AU" w:bidi="ar-SA"/>
              </w:rPr>
            </w:pPr>
            <w:r w:rsidRPr="00F0687E">
              <w:rPr>
                <w:lang w:val="en-GB" w:eastAsia="en-AU" w:bidi="ar-SA"/>
              </w:rPr>
              <w:t>0.37</w:t>
            </w:r>
          </w:p>
        </w:tc>
        <w:tc>
          <w:tcPr>
            <w:tcW w:w="1276" w:type="dxa"/>
            <w:shd w:val="clear" w:color="auto" w:fill="FFFFFF" w:themeFill="background1"/>
            <w:vAlign w:val="center"/>
          </w:tcPr>
          <w:p w14:paraId="452CB9AF" w14:textId="77777777" w:rsidR="0051780C" w:rsidRPr="00F0687E" w:rsidRDefault="0051780C" w:rsidP="00A573C4">
            <w:pPr>
              <w:pStyle w:val="FSTableText"/>
              <w:rPr>
                <w:lang w:val="en-GB" w:eastAsia="en-AU" w:bidi="ar-SA"/>
              </w:rPr>
            </w:pPr>
            <w:r w:rsidRPr="00F0687E">
              <w:rPr>
                <w:lang w:val="en-GB" w:eastAsia="en-AU" w:bidi="ar-SA"/>
              </w:rPr>
              <w:t>0.004</w:t>
            </w:r>
          </w:p>
        </w:tc>
        <w:tc>
          <w:tcPr>
            <w:tcW w:w="850" w:type="dxa"/>
            <w:shd w:val="clear" w:color="auto" w:fill="FFFFFF" w:themeFill="background1"/>
            <w:vAlign w:val="center"/>
          </w:tcPr>
          <w:p w14:paraId="5FDC4B2F" w14:textId="77777777" w:rsidR="0051780C" w:rsidRPr="00F0687E" w:rsidRDefault="0051780C" w:rsidP="00A573C4">
            <w:pPr>
              <w:pStyle w:val="FSTableText"/>
              <w:rPr>
                <w:lang w:val="en-GB" w:eastAsia="en-AU" w:bidi="ar-SA"/>
              </w:rPr>
            </w:pPr>
            <w:r w:rsidRPr="00F0687E">
              <w:rPr>
                <w:lang w:val="en-GB" w:eastAsia="en-AU" w:bidi="ar-SA"/>
              </w:rPr>
              <w:t>0.78</w:t>
            </w:r>
          </w:p>
        </w:tc>
        <w:tc>
          <w:tcPr>
            <w:tcW w:w="1240" w:type="dxa"/>
            <w:shd w:val="clear" w:color="auto" w:fill="FFFFFF" w:themeFill="background1"/>
            <w:vAlign w:val="center"/>
          </w:tcPr>
          <w:p w14:paraId="213D3766" w14:textId="77777777" w:rsidR="0051780C" w:rsidRPr="00F0687E" w:rsidRDefault="0051780C" w:rsidP="00A573C4">
            <w:pPr>
              <w:pStyle w:val="FSTableText"/>
              <w:rPr>
                <w:lang w:val="en-GB" w:eastAsia="en-AU" w:bidi="ar-SA"/>
              </w:rPr>
            </w:pPr>
            <w:r w:rsidRPr="00F0687E">
              <w:rPr>
                <w:lang w:val="en-GB" w:eastAsia="en-AU" w:bidi="ar-SA"/>
              </w:rPr>
              <w:t>0.008</w:t>
            </w:r>
          </w:p>
        </w:tc>
      </w:tr>
      <w:tr w:rsidR="0051780C" w:rsidRPr="00552334" w14:paraId="70E48968" w14:textId="77777777" w:rsidTr="00A573C4">
        <w:trPr>
          <w:trHeight w:val="510"/>
        </w:trPr>
        <w:tc>
          <w:tcPr>
            <w:tcW w:w="1951" w:type="dxa"/>
            <w:vAlign w:val="center"/>
          </w:tcPr>
          <w:p w14:paraId="6F730D2C" w14:textId="3797F4FE" w:rsidR="0051780C" w:rsidRPr="00F0687E" w:rsidRDefault="0051780C" w:rsidP="00A573C4">
            <w:pPr>
              <w:pStyle w:val="FSTableText"/>
              <w:rPr>
                <w:lang w:val="en-GB" w:eastAsia="en-AU" w:bidi="ar-SA"/>
              </w:rPr>
            </w:pPr>
            <w:r w:rsidRPr="00F0687E">
              <w:rPr>
                <w:lang w:val="en-GB" w:eastAsia="en-AU" w:bidi="ar-SA"/>
              </w:rPr>
              <w:t>44</w:t>
            </w:r>
            <w:r w:rsidR="00724D8F">
              <w:rPr>
                <w:lang w:val="en-GB" w:eastAsia="en-AU" w:bidi="ar-SA"/>
              </w:rPr>
              <w:t>–</w:t>
            </w:r>
            <w:r w:rsidRPr="00F0687E">
              <w:rPr>
                <w:lang w:val="en-GB" w:eastAsia="en-AU" w:bidi="ar-SA"/>
              </w:rPr>
              <w:t>85 years</w:t>
            </w:r>
          </w:p>
          <w:p w14:paraId="2BCD33E4" w14:textId="77777777" w:rsidR="0051780C" w:rsidRPr="00F0687E" w:rsidRDefault="0051780C" w:rsidP="00A573C4">
            <w:pPr>
              <w:pStyle w:val="FSTableText"/>
              <w:rPr>
                <w:lang w:val="en-GB" w:eastAsia="en-AU" w:bidi="ar-SA"/>
              </w:rPr>
            </w:pPr>
            <w:r w:rsidRPr="00F0687E">
              <w:rPr>
                <w:lang w:val="en-GB" w:eastAsia="en-AU" w:bidi="ar-SA"/>
              </w:rPr>
              <w:t>(3062)</w:t>
            </w:r>
          </w:p>
        </w:tc>
        <w:tc>
          <w:tcPr>
            <w:tcW w:w="1418" w:type="dxa"/>
            <w:vAlign w:val="center"/>
          </w:tcPr>
          <w:p w14:paraId="7A4C82AC" w14:textId="77777777" w:rsidR="0051780C" w:rsidRPr="00F0687E" w:rsidRDefault="0051780C" w:rsidP="00A573C4">
            <w:pPr>
              <w:pStyle w:val="FSTableText"/>
              <w:rPr>
                <w:lang w:val="en-GB" w:eastAsia="en-AU" w:bidi="ar-SA"/>
              </w:rPr>
            </w:pPr>
            <w:r w:rsidRPr="00F0687E">
              <w:rPr>
                <w:lang w:val="en-GB" w:eastAsia="en-AU" w:bidi="ar-SA"/>
              </w:rPr>
              <w:t>298</w:t>
            </w:r>
          </w:p>
        </w:tc>
        <w:tc>
          <w:tcPr>
            <w:tcW w:w="1701" w:type="dxa"/>
            <w:vAlign w:val="center"/>
          </w:tcPr>
          <w:p w14:paraId="643E004F" w14:textId="77777777" w:rsidR="0051780C" w:rsidRPr="00F0687E" w:rsidRDefault="0051780C" w:rsidP="00A573C4">
            <w:pPr>
              <w:pStyle w:val="FSTableText"/>
              <w:rPr>
                <w:lang w:val="en-GB" w:eastAsia="en-AU" w:bidi="ar-SA"/>
              </w:rPr>
            </w:pPr>
            <w:r w:rsidRPr="00F0687E">
              <w:rPr>
                <w:lang w:val="en-GB" w:eastAsia="en-AU" w:bidi="ar-SA"/>
              </w:rPr>
              <w:t>9.7%</w:t>
            </w:r>
          </w:p>
        </w:tc>
        <w:tc>
          <w:tcPr>
            <w:tcW w:w="850" w:type="dxa"/>
            <w:shd w:val="clear" w:color="auto" w:fill="FFFFFF" w:themeFill="background1"/>
            <w:vAlign w:val="center"/>
          </w:tcPr>
          <w:p w14:paraId="399ED242" w14:textId="77777777" w:rsidR="0051780C" w:rsidRPr="00F0687E" w:rsidRDefault="0051780C" w:rsidP="00A573C4">
            <w:pPr>
              <w:pStyle w:val="FSTableText"/>
              <w:rPr>
                <w:lang w:val="en-GB" w:eastAsia="en-AU" w:bidi="ar-SA"/>
              </w:rPr>
            </w:pPr>
            <w:r w:rsidRPr="00F0687E">
              <w:rPr>
                <w:lang w:val="en-GB" w:eastAsia="en-AU" w:bidi="ar-SA"/>
              </w:rPr>
              <w:t>0.62</w:t>
            </w:r>
          </w:p>
        </w:tc>
        <w:tc>
          <w:tcPr>
            <w:tcW w:w="1276" w:type="dxa"/>
            <w:shd w:val="clear" w:color="auto" w:fill="FFFFFF" w:themeFill="background1"/>
            <w:vAlign w:val="center"/>
          </w:tcPr>
          <w:p w14:paraId="1CF4F59C" w14:textId="77777777" w:rsidR="0051780C" w:rsidRPr="00F0687E" w:rsidRDefault="0051780C" w:rsidP="00A573C4">
            <w:pPr>
              <w:pStyle w:val="FSTableText"/>
              <w:rPr>
                <w:lang w:val="en-GB" w:eastAsia="en-AU" w:bidi="ar-SA"/>
              </w:rPr>
            </w:pPr>
            <w:r w:rsidRPr="00F0687E">
              <w:rPr>
                <w:lang w:val="en-GB" w:eastAsia="en-AU" w:bidi="ar-SA"/>
              </w:rPr>
              <w:t>0.008</w:t>
            </w:r>
          </w:p>
        </w:tc>
        <w:tc>
          <w:tcPr>
            <w:tcW w:w="850" w:type="dxa"/>
            <w:shd w:val="clear" w:color="auto" w:fill="FFFFFF" w:themeFill="background1"/>
            <w:vAlign w:val="center"/>
          </w:tcPr>
          <w:p w14:paraId="7C7F2E05" w14:textId="77777777" w:rsidR="0051780C" w:rsidRPr="00F0687E" w:rsidRDefault="0051780C" w:rsidP="00A573C4">
            <w:pPr>
              <w:pStyle w:val="FSTableText"/>
              <w:rPr>
                <w:lang w:val="en-GB" w:eastAsia="en-AU" w:bidi="ar-SA"/>
              </w:rPr>
            </w:pPr>
            <w:r w:rsidRPr="00F0687E">
              <w:rPr>
                <w:lang w:val="en-GB" w:eastAsia="en-AU" w:bidi="ar-SA"/>
              </w:rPr>
              <w:t>1.17</w:t>
            </w:r>
          </w:p>
        </w:tc>
        <w:tc>
          <w:tcPr>
            <w:tcW w:w="1240" w:type="dxa"/>
            <w:shd w:val="clear" w:color="auto" w:fill="FFFFFF" w:themeFill="background1"/>
            <w:vAlign w:val="center"/>
          </w:tcPr>
          <w:p w14:paraId="3615798B" w14:textId="77777777" w:rsidR="0051780C" w:rsidRPr="00F0687E" w:rsidRDefault="0051780C" w:rsidP="00A573C4">
            <w:pPr>
              <w:pStyle w:val="FSTableText"/>
              <w:rPr>
                <w:lang w:val="en-GB" w:eastAsia="en-AU" w:bidi="ar-SA"/>
              </w:rPr>
            </w:pPr>
            <w:r w:rsidRPr="00F0687E">
              <w:rPr>
                <w:lang w:val="en-GB" w:eastAsia="en-AU" w:bidi="ar-SA"/>
              </w:rPr>
              <w:t>0.017</w:t>
            </w:r>
          </w:p>
        </w:tc>
      </w:tr>
      <w:tr w:rsidR="0051780C" w:rsidRPr="00552334" w14:paraId="42DCD4AD" w14:textId="77777777" w:rsidTr="00A573C4">
        <w:trPr>
          <w:trHeight w:val="510"/>
        </w:trPr>
        <w:tc>
          <w:tcPr>
            <w:tcW w:w="1951" w:type="dxa"/>
            <w:vAlign w:val="center"/>
          </w:tcPr>
          <w:p w14:paraId="0A7858AA" w14:textId="77777777" w:rsidR="0051780C" w:rsidRPr="00F0687E" w:rsidRDefault="0051780C" w:rsidP="00A573C4">
            <w:pPr>
              <w:pStyle w:val="FSTableText"/>
              <w:rPr>
                <w:lang w:val="en-GB" w:eastAsia="en-AU" w:bidi="ar-SA"/>
              </w:rPr>
            </w:pPr>
            <w:r w:rsidRPr="00F0687E">
              <w:rPr>
                <w:lang w:val="en-GB" w:eastAsia="en-AU" w:bidi="ar-SA"/>
              </w:rPr>
              <w:t>2+years (all ages)</w:t>
            </w:r>
          </w:p>
          <w:p w14:paraId="45EE2B3A" w14:textId="77777777" w:rsidR="0051780C" w:rsidRPr="00F0687E" w:rsidRDefault="0051780C" w:rsidP="00A573C4">
            <w:pPr>
              <w:pStyle w:val="FSTableText"/>
              <w:rPr>
                <w:lang w:val="en-GB" w:eastAsia="en-AU" w:bidi="ar-SA"/>
              </w:rPr>
            </w:pPr>
            <w:r w:rsidRPr="00F0687E">
              <w:rPr>
                <w:lang w:val="en-GB" w:eastAsia="en-AU" w:bidi="ar-SA"/>
              </w:rPr>
              <w:t>(7735)</w:t>
            </w:r>
          </w:p>
        </w:tc>
        <w:tc>
          <w:tcPr>
            <w:tcW w:w="1418" w:type="dxa"/>
            <w:vAlign w:val="center"/>
          </w:tcPr>
          <w:p w14:paraId="5CFD361F" w14:textId="77777777" w:rsidR="0051780C" w:rsidRPr="00F0687E" w:rsidRDefault="0051780C" w:rsidP="00A573C4">
            <w:pPr>
              <w:pStyle w:val="FSTableText"/>
              <w:rPr>
                <w:lang w:val="en-GB" w:eastAsia="en-AU" w:bidi="ar-SA"/>
              </w:rPr>
            </w:pPr>
            <w:r w:rsidRPr="00F0687E">
              <w:rPr>
                <w:lang w:val="en-GB" w:eastAsia="en-AU" w:bidi="ar-SA"/>
              </w:rPr>
              <w:t>422</w:t>
            </w:r>
          </w:p>
        </w:tc>
        <w:tc>
          <w:tcPr>
            <w:tcW w:w="1701" w:type="dxa"/>
            <w:vAlign w:val="center"/>
          </w:tcPr>
          <w:p w14:paraId="79122C3C" w14:textId="77777777" w:rsidR="0051780C" w:rsidRPr="00F0687E" w:rsidRDefault="0051780C" w:rsidP="00A573C4">
            <w:pPr>
              <w:pStyle w:val="FSTableText"/>
              <w:rPr>
                <w:lang w:val="en-GB" w:eastAsia="en-AU" w:bidi="ar-SA"/>
              </w:rPr>
            </w:pPr>
            <w:r w:rsidRPr="00F0687E">
              <w:rPr>
                <w:lang w:val="en-GB" w:eastAsia="en-AU" w:bidi="ar-SA"/>
              </w:rPr>
              <w:t>5.4%</w:t>
            </w:r>
          </w:p>
        </w:tc>
        <w:tc>
          <w:tcPr>
            <w:tcW w:w="850" w:type="dxa"/>
            <w:shd w:val="clear" w:color="auto" w:fill="FFFFFF" w:themeFill="background1"/>
            <w:vAlign w:val="center"/>
          </w:tcPr>
          <w:p w14:paraId="4937E5FE" w14:textId="77777777" w:rsidR="0051780C" w:rsidRPr="00F0687E" w:rsidRDefault="0051780C" w:rsidP="00A573C4">
            <w:pPr>
              <w:pStyle w:val="FSTableText"/>
              <w:rPr>
                <w:lang w:val="en-GB" w:eastAsia="en-AU" w:bidi="ar-SA"/>
              </w:rPr>
            </w:pPr>
            <w:r w:rsidRPr="00F0687E">
              <w:rPr>
                <w:lang w:val="en-GB" w:eastAsia="en-AU" w:bidi="ar-SA"/>
              </w:rPr>
              <w:t>0.57</w:t>
            </w:r>
          </w:p>
        </w:tc>
        <w:tc>
          <w:tcPr>
            <w:tcW w:w="1276" w:type="dxa"/>
            <w:shd w:val="clear" w:color="auto" w:fill="FFFFFF" w:themeFill="background1"/>
            <w:vAlign w:val="center"/>
          </w:tcPr>
          <w:p w14:paraId="007F2635" w14:textId="77777777" w:rsidR="0051780C" w:rsidRPr="00F0687E" w:rsidRDefault="0051780C" w:rsidP="00A573C4">
            <w:pPr>
              <w:pStyle w:val="FSTableText"/>
              <w:rPr>
                <w:lang w:val="en-GB" w:eastAsia="en-AU" w:bidi="ar-SA"/>
              </w:rPr>
            </w:pPr>
            <w:r w:rsidRPr="00F0687E">
              <w:rPr>
                <w:lang w:val="en-GB" w:eastAsia="en-AU" w:bidi="ar-SA"/>
              </w:rPr>
              <w:t>0.008</w:t>
            </w:r>
          </w:p>
        </w:tc>
        <w:tc>
          <w:tcPr>
            <w:tcW w:w="850" w:type="dxa"/>
            <w:shd w:val="clear" w:color="auto" w:fill="FFFFFF" w:themeFill="background1"/>
            <w:vAlign w:val="center"/>
          </w:tcPr>
          <w:p w14:paraId="28E96612" w14:textId="77777777" w:rsidR="0051780C" w:rsidRPr="00F0687E" w:rsidRDefault="0051780C" w:rsidP="00A573C4">
            <w:pPr>
              <w:pStyle w:val="FSTableText"/>
              <w:rPr>
                <w:lang w:val="en-GB" w:eastAsia="en-AU" w:bidi="ar-SA"/>
              </w:rPr>
            </w:pPr>
            <w:r w:rsidRPr="00F0687E">
              <w:rPr>
                <w:lang w:val="en-GB" w:eastAsia="en-AU" w:bidi="ar-SA"/>
              </w:rPr>
              <w:t>1.17</w:t>
            </w:r>
          </w:p>
        </w:tc>
        <w:tc>
          <w:tcPr>
            <w:tcW w:w="1240" w:type="dxa"/>
            <w:shd w:val="clear" w:color="auto" w:fill="FFFFFF" w:themeFill="background1"/>
            <w:vAlign w:val="center"/>
          </w:tcPr>
          <w:p w14:paraId="1CFD7777" w14:textId="77777777" w:rsidR="0051780C" w:rsidRPr="00F0687E" w:rsidRDefault="0051780C" w:rsidP="00A573C4">
            <w:pPr>
              <w:pStyle w:val="FSTableText"/>
              <w:rPr>
                <w:lang w:val="en-GB" w:eastAsia="en-AU" w:bidi="ar-SA"/>
              </w:rPr>
            </w:pPr>
            <w:r w:rsidRPr="00F0687E">
              <w:rPr>
                <w:lang w:val="en-GB" w:eastAsia="en-AU" w:bidi="ar-SA"/>
              </w:rPr>
              <w:t>0.017</w:t>
            </w:r>
          </w:p>
        </w:tc>
      </w:tr>
    </w:tbl>
    <w:p w14:paraId="78E0B1BC" w14:textId="2A46DD21" w:rsidR="006032CB" w:rsidRPr="006032CB" w:rsidRDefault="006032CB" w:rsidP="0051780C">
      <w:pPr>
        <w:rPr>
          <w:sz w:val="20"/>
          <w:szCs w:val="20"/>
          <w:vertAlign w:val="superscript"/>
          <w:lang w:val="en-GB" w:eastAsia="en-AU" w:bidi="ar-SA"/>
        </w:rPr>
      </w:pPr>
      <w:r w:rsidRPr="006032CB">
        <w:rPr>
          <w:sz w:val="20"/>
          <w:szCs w:val="20"/>
          <w:vertAlign w:val="superscript"/>
          <w:lang w:val="en-GB" w:eastAsia="en-AU" w:bidi="ar-SA"/>
        </w:rPr>
        <w:t xml:space="preserve"># </w:t>
      </w:r>
      <w:r w:rsidRPr="006032CB">
        <w:rPr>
          <w:sz w:val="20"/>
          <w:szCs w:val="20"/>
          <w:lang w:val="en-GB" w:eastAsia="en-AU"/>
        </w:rPr>
        <w:t xml:space="preserve">Expressed as </w:t>
      </w:r>
      <w:r>
        <w:rPr>
          <w:sz w:val="20"/>
          <w:szCs w:val="20"/>
          <w:lang w:val="en-GB" w:eastAsia="en-AU"/>
        </w:rPr>
        <w:t>plan</w:t>
      </w:r>
      <w:r w:rsidRPr="006032CB">
        <w:rPr>
          <w:sz w:val="20"/>
          <w:szCs w:val="20"/>
          <w:lang w:val="en-GB" w:eastAsia="en-AU"/>
        </w:rPr>
        <w:t>t sterol equivalents</w:t>
      </w:r>
    </w:p>
    <w:p w14:paraId="2CD7DB23" w14:textId="5F0F8171" w:rsidR="0051780C" w:rsidRPr="00F0687E" w:rsidRDefault="0051780C" w:rsidP="0051780C">
      <w:pPr>
        <w:rPr>
          <w:sz w:val="20"/>
          <w:szCs w:val="20"/>
          <w:lang w:val="en-GB" w:eastAsia="en-AU"/>
        </w:rPr>
      </w:pPr>
      <w:r w:rsidRPr="00F0687E">
        <w:rPr>
          <w:lang w:val="en-GB" w:eastAsia="en-AU" w:bidi="ar-SA"/>
        </w:rPr>
        <w:t>*</w:t>
      </w:r>
      <w:r w:rsidRPr="00F0687E">
        <w:rPr>
          <w:lang w:val="en-GB" w:eastAsia="en-AU"/>
        </w:rPr>
        <w:t xml:space="preserve"> </w:t>
      </w:r>
      <w:r w:rsidRPr="00F0687E">
        <w:rPr>
          <w:sz w:val="20"/>
          <w:szCs w:val="20"/>
          <w:lang w:val="en-GB" w:eastAsia="en-AU"/>
        </w:rPr>
        <w:t xml:space="preserve">Individual respondents’ exposures are divided by their own body weight before deriving mean and P90 dietary exposures and are expressed as plant sterol equivalents. </w:t>
      </w:r>
    </w:p>
    <w:p w14:paraId="6FFE8742" w14:textId="77777777" w:rsidR="0051780C" w:rsidRPr="00F0687E" w:rsidRDefault="0051780C" w:rsidP="0051780C">
      <w:pPr>
        <w:rPr>
          <w:lang w:val="en-GB" w:eastAsia="en-AU"/>
        </w:rPr>
      </w:pPr>
    </w:p>
    <w:p w14:paraId="2D9F49DA" w14:textId="77777777" w:rsidR="0051780C" w:rsidRDefault="0051780C" w:rsidP="002166FB">
      <w:pPr>
        <w:pStyle w:val="FSTableTitle"/>
        <w:spacing w:after="120"/>
        <w:rPr>
          <w:lang w:val="en-GB"/>
        </w:rPr>
      </w:pPr>
      <w:r w:rsidRPr="00F0687E">
        <w:rPr>
          <w:lang w:val="en-GB"/>
        </w:rPr>
        <w:t>Table A2</w:t>
      </w:r>
      <w:r>
        <w:rPr>
          <w:lang w:val="en-GB"/>
        </w:rPr>
        <w:t>:</w:t>
      </w:r>
      <w:r w:rsidRPr="00F0687E">
        <w:rPr>
          <w:lang w:val="en-GB"/>
        </w:rPr>
        <w:t xml:space="preserve">  Estimated baseline dietary exposure to plant sterols for Australian consumers of foods with added plant sterols - 2011-12 NNPAS, Day 1 only, by age*</w:t>
      </w:r>
    </w:p>
    <w:tbl>
      <w:tblPr>
        <w:tblStyle w:val="TableGrid"/>
        <w:tblW w:w="0" w:type="auto"/>
        <w:tblLayout w:type="fixed"/>
        <w:tblLook w:val="04A0" w:firstRow="1" w:lastRow="0" w:firstColumn="1" w:lastColumn="0" w:noHBand="0" w:noVBand="1"/>
        <w:tblCaption w:val="Estimated baseline dietary exposure to plant sterols for Australian consumers of foods with added plant sterols - 2011-12 NNPAS, Day 1 only, by age"/>
      </w:tblPr>
      <w:tblGrid>
        <w:gridCol w:w="1951"/>
        <w:gridCol w:w="1418"/>
        <w:gridCol w:w="1701"/>
        <w:gridCol w:w="850"/>
        <w:gridCol w:w="1276"/>
        <w:gridCol w:w="850"/>
        <w:gridCol w:w="1240"/>
      </w:tblGrid>
      <w:tr w:rsidR="0051780C" w:rsidRPr="00552334" w14:paraId="0ACFD9AF" w14:textId="77777777" w:rsidTr="00A573C4">
        <w:trPr>
          <w:trHeight w:val="397"/>
          <w:tblHeader/>
        </w:trPr>
        <w:tc>
          <w:tcPr>
            <w:tcW w:w="1951" w:type="dxa"/>
            <w:vMerge w:val="restart"/>
            <w:vAlign w:val="center"/>
          </w:tcPr>
          <w:p w14:paraId="1ECF06FF" w14:textId="77777777" w:rsidR="0051780C" w:rsidRPr="00F0687E" w:rsidRDefault="0051780C" w:rsidP="00A573C4">
            <w:pPr>
              <w:pStyle w:val="FSTableText"/>
              <w:rPr>
                <w:b/>
                <w:lang w:val="en-GB" w:eastAsia="en-AU" w:bidi="ar-SA"/>
              </w:rPr>
            </w:pPr>
            <w:r w:rsidRPr="00F0687E">
              <w:rPr>
                <w:b/>
                <w:lang w:val="en-GB" w:eastAsia="en-AU" w:bidi="ar-SA"/>
              </w:rPr>
              <w:t>Age Group</w:t>
            </w:r>
          </w:p>
          <w:p w14:paraId="074C19EA"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8" w:type="dxa"/>
            <w:vMerge w:val="restart"/>
            <w:vAlign w:val="center"/>
          </w:tcPr>
          <w:p w14:paraId="0D8ADF1B"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701" w:type="dxa"/>
            <w:vMerge w:val="restart"/>
            <w:vAlign w:val="center"/>
          </w:tcPr>
          <w:p w14:paraId="239DD205" w14:textId="77777777" w:rsidR="0051780C" w:rsidRPr="00F0687E" w:rsidRDefault="0051780C" w:rsidP="00A573C4">
            <w:pPr>
              <w:pStyle w:val="FSTableText"/>
              <w:rPr>
                <w:b/>
                <w:lang w:val="en-GB" w:eastAsia="en-AU" w:bidi="ar-SA"/>
              </w:rPr>
            </w:pPr>
            <w:r w:rsidRPr="00F0687E">
              <w:rPr>
                <w:b/>
                <w:lang w:val="en-GB" w:eastAsia="en-AU" w:bidi="ar-SA"/>
              </w:rPr>
              <w:t>Consumers as a percentage of respondents</w:t>
            </w:r>
          </w:p>
        </w:tc>
        <w:tc>
          <w:tcPr>
            <w:tcW w:w="2126" w:type="dxa"/>
            <w:gridSpan w:val="2"/>
            <w:vAlign w:val="center"/>
          </w:tcPr>
          <w:p w14:paraId="788EE108" w14:textId="5C18378F" w:rsidR="0051780C" w:rsidRPr="00F0687E" w:rsidRDefault="0051780C" w:rsidP="00A573C4">
            <w:pPr>
              <w:pStyle w:val="FSTableText"/>
              <w:rPr>
                <w:b/>
                <w:lang w:val="en-GB" w:eastAsia="en-AU" w:bidi="ar-SA"/>
              </w:rPr>
            </w:pPr>
            <w:r w:rsidRPr="00F0687E">
              <w:rPr>
                <w:b/>
                <w:lang w:val="en-GB" w:eastAsia="en-AU" w:bidi="ar-SA"/>
              </w:rPr>
              <w:t>Mean exposure</w:t>
            </w:r>
            <w:r w:rsidR="00E55334" w:rsidRPr="006032CB">
              <w:rPr>
                <w:b/>
                <w:vertAlign w:val="superscript"/>
                <w:lang w:val="en-GB" w:eastAsia="en-AU" w:bidi="ar-SA"/>
              </w:rPr>
              <w:t>#</w:t>
            </w:r>
          </w:p>
        </w:tc>
        <w:tc>
          <w:tcPr>
            <w:tcW w:w="2090" w:type="dxa"/>
            <w:gridSpan w:val="2"/>
            <w:vAlign w:val="center"/>
          </w:tcPr>
          <w:p w14:paraId="1C5BDA3B" w14:textId="652DA09E" w:rsidR="0051780C" w:rsidRPr="00F0687E" w:rsidRDefault="0051780C" w:rsidP="00A573C4">
            <w:pPr>
              <w:pStyle w:val="FSTableText"/>
              <w:rPr>
                <w:b/>
                <w:lang w:val="en-GB" w:eastAsia="en-AU" w:bidi="ar-SA"/>
              </w:rPr>
            </w:pPr>
            <w:r w:rsidRPr="00F0687E">
              <w:rPr>
                <w:b/>
                <w:lang w:val="en-GB" w:eastAsia="en-AU" w:bidi="ar-SA"/>
              </w:rPr>
              <w:t>P90 exposure</w:t>
            </w:r>
            <w:r w:rsidR="00E55334" w:rsidRPr="006032CB">
              <w:rPr>
                <w:b/>
                <w:vertAlign w:val="superscript"/>
                <w:lang w:val="en-GB" w:eastAsia="en-AU" w:bidi="ar-SA"/>
              </w:rPr>
              <w:t>#</w:t>
            </w:r>
          </w:p>
        </w:tc>
      </w:tr>
      <w:tr w:rsidR="0051780C" w:rsidRPr="00552334" w14:paraId="716EDD53" w14:textId="77777777" w:rsidTr="00A573C4">
        <w:trPr>
          <w:trHeight w:val="397"/>
          <w:tblHeader/>
        </w:trPr>
        <w:tc>
          <w:tcPr>
            <w:tcW w:w="1951" w:type="dxa"/>
            <w:vMerge/>
          </w:tcPr>
          <w:p w14:paraId="62DED6A7" w14:textId="77777777" w:rsidR="0051780C" w:rsidRPr="00F0687E" w:rsidRDefault="0051780C" w:rsidP="00A573C4">
            <w:pPr>
              <w:pStyle w:val="FSTableText"/>
              <w:rPr>
                <w:b/>
                <w:lang w:val="en-GB" w:eastAsia="en-AU" w:bidi="ar-SA"/>
              </w:rPr>
            </w:pPr>
          </w:p>
        </w:tc>
        <w:tc>
          <w:tcPr>
            <w:tcW w:w="1418" w:type="dxa"/>
            <w:vMerge/>
            <w:vAlign w:val="center"/>
          </w:tcPr>
          <w:p w14:paraId="19DDBAD5" w14:textId="77777777" w:rsidR="0051780C" w:rsidRPr="00F0687E" w:rsidRDefault="0051780C" w:rsidP="00A573C4">
            <w:pPr>
              <w:pStyle w:val="FSTableText"/>
              <w:rPr>
                <w:b/>
                <w:lang w:val="en-GB" w:eastAsia="en-AU" w:bidi="ar-SA"/>
              </w:rPr>
            </w:pPr>
          </w:p>
        </w:tc>
        <w:tc>
          <w:tcPr>
            <w:tcW w:w="1701" w:type="dxa"/>
            <w:vMerge/>
            <w:vAlign w:val="center"/>
          </w:tcPr>
          <w:p w14:paraId="6A554203" w14:textId="77777777" w:rsidR="0051780C" w:rsidRPr="00F0687E" w:rsidRDefault="0051780C" w:rsidP="00A573C4">
            <w:pPr>
              <w:pStyle w:val="FSTableText"/>
              <w:rPr>
                <w:b/>
                <w:lang w:val="en-GB" w:eastAsia="en-AU" w:bidi="ar-SA"/>
              </w:rPr>
            </w:pPr>
          </w:p>
        </w:tc>
        <w:tc>
          <w:tcPr>
            <w:tcW w:w="850" w:type="dxa"/>
            <w:vAlign w:val="center"/>
          </w:tcPr>
          <w:p w14:paraId="63D2559D"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76" w:type="dxa"/>
            <w:vAlign w:val="center"/>
          </w:tcPr>
          <w:p w14:paraId="172B50CA"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c>
          <w:tcPr>
            <w:tcW w:w="850" w:type="dxa"/>
            <w:vAlign w:val="center"/>
          </w:tcPr>
          <w:p w14:paraId="73C7064F"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240" w:type="dxa"/>
            <w:vAlign w:val="center"/>
          </w:tcPr>
          <w:p w14:paraId="3549F5FE" w14:textId="23258E96" w:rsidR="0051780C" w:rsidRPr="00F0687E" w:rsidRDefault="0051780C" w:rsidP="00E55334">
            <w:pPr>
              <w:pStyle w:val="FSTableText"/>
              <w:rPr>
                <w:b/>
                <w:sz w:val="18"/>
                <w:szCs w:val="18"/>
                <w:lang w:val="en-GB" w:eastAsia="en-AU" w:bidi="ar-SA"/>
              </w:rPr>
            </w:pPr>
            <w:r w:rsidRPr="00F0687E">
              <w:rPr>
                <w:b/>
                <w:i/>
                <w:sz w:val="18"/>
                <w:szCs w:val="18"/>
                <w:lang w:val="en-GB" w:eastAsia="en-AU" w:bidi="ar-SA"/>
              </w:rPr>
              <w:t>g/kg BW/day</w:t>
            </w:r>
            <w:r w:rsidR="00E55334">
              <w:rPr>
                <w:b/>
                <w:i/>
                <w:sz w:val="18"/>
                <w:szCs w:val="18"/>
                <w:lang w:val="en-GB" w:eastAsia="en-AU" w:bidi="ar-SA"/>
              </w:rPr>
              <w:t>^</w:t>
            </w:r>
          </w:p>
        </w:tc>
      </w:tr>
      <w:tr w:rsidR="0051780C" w:rsidRPr="00552334" w14:paraId="7EC6A8A3" w14:textId="77777777" w:rsidTr="00A573C4">
        <w:trPr>
          <w:trHeight w:val="510"/>
        </w:trPr>
        <w:tc>
          <w:tcPr>
            <w:tcW w:w="1951" w:type="dxa"/>
            <w:vAlign w:val="center"/>
          </w:tcPr>
          <w:p w14:paraId="452DA101" w14:textId="63AC9805" w:rsidR="0051780C" w:rsidRPr="00F0687E" w:rsidRDefault="0051780C" w:rsidP="00A573C4">
            <w:pPr>
              <w:pStyle w:val="FSTableText"/>
              <w:rPr>
                <w:lang w:val="en-GB" w:eastAsia="en-AU" w:bidi="ar-SA"/>
              </w:rPr>
            </w:pPr>
            <w:r w:rsidRPr="00F0687E">
              <w:rPr>
                <w:lang w:val="en-GB" w:eastAsia="en-AU" w:bidi="ar-SA"/>
              </w:rPr>
              <w:t>2</w:t>
            </w:r>
            <w:r w:rsidR="00724D8F">
              <w:rPr>
                <w:lang w:val="en-GB" w:eastAsia="en-AU" w:bidi="ar-SA"/>
              </w:rPr>
              <w:t>–</w:t>
            </w:r>
            <w:r w:rsidRPr="00F0687E">
              <w:rPr>
                <w:lang w:val="en-GB" w:eastAsia="en-AU" w:bidi="ar-SA"/>
              </w:rPr>
              <w:t>4 years</w:t>
            </w:r>
          </w:p>
          <w:p w14:paraId="028673C4" w14:textId="77777777" w:rsidR="0051780C" w:rsidRPr="00F0687E" w:rsidRDefault="0051780C" w:rsidP="00A573C4">
            <w:pPr>
              <w:pStyle w:val="FSTableText"/>
              <w:rPr>
                <w:lang w:val="en-GB" w:eastAsia="en-AU" w:bidi="ar-SA"/>
              </w:rPr>
            </w:pPr>
            <w:r w:rsidRPr="00F0687E">
              <w:rPr>
                <w:lang w:val="en-GB" w:eastAsia="en-AU" w:bidi="ar-SA"/>
              </w:rPr>
              <w:t>(495)</w:t>
            </w:r>
          </w:p>
        </w:tc>
        <w:tc>
          <w:tcPr>
            <w:tcW w:w="1418" w:type="dxa"/>
            <w:vAlign w:val="center"/>
          </w:tcPr>
          <w:p w14:paraId="7B13D5DB" w14:textId="77777777" w:rsidR="0051780C" w:rsidRPr="00F0687E" w:rsidRDefault="0051780C" w:rsidP="00A573C4">
            <w:pPr>
              <w:pStyle w:val="FSTableText"/>
              <w:rPr>
                <w:lang w:val="en-GB" w:eastAsia="en-AU" w:bidi="ar-SA"/>
              </w:rPr>
            </w:pPr>
            <w:r w:rsidRPr="00F0687E">
              <w:rPr>
                <w:lang w:val="en-GB" w:eastAsia="en-AU" w:bidi="ar-SA"/>
              </w:rPr>
              <w:t xml:space="preserve">  10</w:t>
            </w:r>
          </w:p>
        </w:tc>
        <w:tc>
          <w:tcPr>
            <w:tcW w:w="1701" w:type="dxa"/>
            <w:vAlign w:val="center"/>
          </w:tcPr>
          <w:p w14:paraId="4300207B" w14:textId="77777777" w:rsidR="0051780C" w:rsidRPr="00F0687E" w:rsidRDefault="0051780C" w:rsidP="00A573C4">
            <w:pPr>
              <w:pStyle w:val="FSTableText"/>
              <w:rPr>
                <w:lang w:val="en-GB" w:eastAsia="en-AU" w:bidi="ar-SA"/>
              </w:rPr>
            </w:pPr>
            <w:r w:rsidRPr="00F0687E">
              <w:rPr>
                <w:lang w:val="en-GB" w:eastAsia="en-AU" w:bidi="ar-SA"/>
              </w:rPr>
              <w:t>1.9%</w:t>
            </w:r>
          </w:p>
        </w:tc>
        <w:tc>
          <w:tcPr>
            <w:tcW w:w="850" w:type="dxa"/>
            <w:shd w:val="clear" w:color="auto" w:fill="FFFFFF" w:themeFill="background1"/>
            <w:vAlign w:val="center"/>
          </w:tcPr>
          <w:p w14:paraId="76EAEB11" w14:textId="77777777" w:rsidR="0051780C" w:rsidRPr="00F0687E" w:rsidRDefault="0051780C" w:rsidP="00A573C4">
            <w:pPr>
              <w:pStyle w:val="FSTableText"/>
              <w:rPr>
                <w:lang w:val="en-GB" w:eastAsia="en-AU" w:bidi="ar-SA"/>
              </w:rPr>
            </w:pPr>
            <w:r w:rsidRPr="00F0687E">
              <w:rPr>
                <w:lang w:val="en-GB" w:eastAsia="en-AU" w:bidi="ar-SA"/>
              </w:rPr>
              <w:t>0.45</w:t>
            </w:r>
          </w:p>
        </w:tc>
        <w:tc>
          <w:tcPr>
            <w:tcW w:w="1276" w:type="dxa"/>
            <w:shd w:val="clear" w:color="auto" w:fill="FFFFFF" w:themeFill="background1"/>
            <w:vAlign w:val="center"/>
          </w:tcPr>
          <w:p w14:paraId="2D48E9F5" w14:textId="77777777" w:rsidR="0051780C" w:rsidRPr="00F0687E" w:rsidRDefault="0051780C" w:rsidP="00A573C4">
            <w:pPr>
              <w:pStyle w:val="FSTableText"/>
              <w:rPr>
                <w:lang w:val="en-GB" w:eastAsia="en-AU" w:bidi="ar-SA"/>
              </w:rPr>
            </w:pPr>
            <w:r w:rsidRPr="00F0687E">
              <w:rPr>
                <w:lang w:val="en-GB" w:eastAsia="en-AU" w:bidi="ar-SA"/>
              </w:rPr>
              <w:t>0.029</w:t>
            </w:r>
          </w:p>
        </w:tc>
        <w:tc>
          <w:tcPr>
            <w:tcW w:w="850" w:type="dxa"/>
            <w:shd w:val="clear" w:color="auto" w:fill="FFFFFF" w:themeFill="background1"/>
            <w:vAlign w:val="center"/>
          </w:tcPr>
          <w:p w14:paraId="61441C5E" w14:textId="77777777" w:rsidR="0051780C" w:rsidRPr="00F0687E" w:rsidRDefault="0051780C" w:rsidP="00A573C4">
            <w:pPr>
              <w:pStyle w:val="FSTableText"/>
              <w:rPr>
                <w:lang w:val="en-GB" w:eastAsia="en-AU" w:bidi="ar-SA"/>
              </w:rPr>
            </w:pPr>
            <w:r w:rsidRPr="00F0687E">
              <w:rPr>
                <w:lang w:val="en-GB" w:eastAsia="en-AU" w:bidi="ar-SA"/>
              </w:rPr>
              <w:t>0.78</w:t>
            </w:r>
          </w:p>
        </w:tc>
        <w:tc>
          <w:tcPr>
            <w:tcW w:w="1240" w:type="dxa"/>
            <w:shd w:val="clear" w:color="auto" w:fill="FFFFFF" w:themeFill="background1"/>
            <w:vAlign w:val="center"/>
          </w:tcPr>
          <w:p w14:paraId="0D011D1D" w14:textId="77777777" w:rsidR="0051780C" w:rsidRPr="00F0687E" w:rsidRDefault="0051780C" w:rsidP="00A573C4">
            <w:pPr>
              <w:pStyle w:val="FSTableText"/>
              <w:rPr>
                <w:lang w:val="en-GB" w:eastAsia="en-AU" w:bidi="ar-SA"/>
              </w:rPr>
            </w:pPr>
            <w:r w:rsidRPr="00F0687E">
              <w:rPr>
                <w:lang w:val="en-GB" w:eastAsia="en-AU" w:bidi="ar-SA"/>
              </w:rPr>
              <w:t>0.045</w:t>
            </w:r>
          </w:p>
        </w:tc>
      </w:tr>
      <w:tr w:rsidR="0051780C" w:rsidRPr="00552334" w14:paraId="04E323B4" w14:textId="77777777" w:rsidTr="00A573C4">
        <w:trPr>
          <w:trHeight w:val="510"/>
        </w:trPr>
        <w:tc>
          <w:tcPr>
            <w:tcW w:w="1951" w:type="dxa"/>
            <w:vAlign w:val="center"/>
          </w:tcPr>
          <w:p w14:paraId="264083E1" w14:textId="3EA3D186" w:rsidR="0051780C" w:rsidRPr="00F0687E" w:rsidRDefault="0051780C" w:rsidP="00A573C4">
            <w:pPr>
              <w:pStyle w:val="FSTableText"/>
              <w:rPr>
                <w:lang w:val="en-GB" w:eastAsia="en-AU" w:bidi="ar-SA"/>
              </w:rPr>
            </w:pPr>
            <w:r w:rsidRPr="00F0687E">
              <w:rPr>
                <w:lang w:val="en-GB" w:eastAsia="en-AU" w:bidi="ar-SA"/>
              </w:rPr>
              <w:t>5</w:t>
            </w:r>
            <w:r w:rsidR="00724D8F">
              <w:rPr>
                <w:lang w:val="en-GB" w:eastAsia="en-AU" w:bidi="ar-SA"/>
              </w:rPr>
              <w:t>–</w:t>
            </w:r>
            <w:r w:rsidRPr="00F0687E">
              <w:rPr>
                <w:lang w:val="en-GB" w:eastAsia="en-AU" w:bidi="ar-SA"/>
              </w:rPr>
              <w:t>12 years</w:t>
            </w:r>
          </w:p>
          <w:p w14:paraId="14102296" w14:textId="77777777" w:rsidR="0051780C" w:rsidRPr="00F0687E" w:rsidRDefault="0051780C" w:rsidP="00A573C4">
            <w:pPr>
              <w:pStyle w:val="FSTableText"/>
              <w:rPr>
                <w:lang w:val="en-GB" w:eastAsia="en-AU" w:bidi="ar-SA"/>
              </w:rPr>
            </w:pPr>
            <w:r w:rsidRPr="00F0687E">
              <w:rPr>
                <w:lang w:val="en-GB" w:eastAsia="en-AU" w:bidi="ar-SA"/>
              </w:rPr>
              <w:t>(1291)</w:t>
            </w:r>
          </w:p>
        </w:tc>
        <w:tc>
          <w:tcPr>
            <w:tcW w:w="1418" w:type="dxa"/>
            <w:vAlign w:val="center"/>
          </w:tcPr>
          <w:p w14:paraId="4A0B91C9" w14:textId="77777777" w:rsidR="0051780C" w:rsidRPr="00F0687E" w:rsidRDefault="0051780C" w:rsidP="00A573C4">
            <w:pPr>
              <w:pStyle w:val="FSTableText"/>
              <w:rPr>
                <w:lang w:val="en-GB" w:eastAsia="en-AU" w:bidi="ar-SA"/>
              </w:rPr>
            </w:pPr>
            <w:r w:rsidRPr="00F0687E">
              <w:rPr>
                <w:lang w:val="en-GB" w:eastAsia="en-AU" w:bidi="ar-SA"/>
              </w:rPr>
              <w:t xml:space="preserve">  20</w:t>
            </w:r>
          </w:p>
        </w:tc>
        <w:tc>
          <w:tcPr>
            <w:tcW w:w="1701" w:type="dxa"/>
            <w:vAlign w:val="center"/>
          </w:tcPr>
          <w:p w14:paraId="38E495D3" w14:textId="77777777" w:rsidR="0051780C" w:rsidRPr="00F0687E" w:rsidRDefault="0051780C" w:rsidP="00A573C4">
            <w:pPr>
              <w:pStyle w:val="FSTableText"/>
              <w:rPr>
                <w:lang w:val="en-GB" w:eastAsia="en-AU" w:bidi="ar-SA"/>
              </w:rPr>
            </w:pPr>
            <w:r w:rsidRPr="00F0687E">
              <w:rPr>
                <w:lang w:val="en-GB" w:eastAsia="en-AU" w:bidi="ar-SA"/>
              </w:rPr>
              <w:t>1.5%</w:t>
            </w:r>
          </w:p>
        </w:tc>
        <w:tc>
          <w:tcPr>
            <w:tcW w:w="850" w:type="dxa"/>
            <w:shd w:val="clear" w:color="auto" w:fill="FFFFFF" w:themeFill="background1"/>
            <w:vAlign w:val="center"/>
          </w:tcPr>
          <w:p w14:paraId="34549645" w14:textId="77777777" w:rsidR="0051780C" w:rsidRPr="00F0687E" w:rsidRDefault="0051780C" w:rsidP="00A573C4">
            <w:pPr>
              <w:pStyle w:val="FSTableText"/>
              <w:rPr>
                <w:lang w:val="en-GB" w:eastAsia="en-AU" w:bidi="ar-SA"/>
              </w:rPr>
            </w:pPr>
            <w:r w:rsidRPr="00F0687E">
              <w:rPr>
                <w:lang w:val="en-GB" w:eastAsia="en-AU" w:bidi="ar-SA"/>
              </w:rPr>
              <w:t>1.16</w:t>
            </w:r>
          </w:p>
        </w:tc>
        <w:tc>
          <w:tcPr>
            <w:tcW w:w="1276" w:type="dxa"/>
            <w:shd w:val="clear" w:color="auto" w:fill="FFFFFF" w:themeFill="background1"/>
            <w:vAlign w:val="center"/>
          </w:tcPr>
          <w:p w14:paraId="2C15AE02" w14:textId="77777777" w:rsidR="0051780C" w:rsidRPr="00F0687E" w:rsidRDefault="0051780C" w:rsidP="00A573C4">
            <w:pPr>
              <w:pStyle w:val="FSTableText"/>
              <w:rPr>
                <w:lang w:val="en-GB" w:eastAsia="en-AU" w:bidi="ar-SA"/>
              </w:rPr>
            </w:pPr>
            <w:r w:rsidRPr="00F0687E">
              <w:rPr>
                <w:lang w:val="en-GB" w:eastAsia="en-AU" w:bidi="ar-SA"/>
              </w:rPr>
              <w:t>0.033</w:t>
            </w:r>
          </w:p>
        </w:tc>
        <w:tc>
          <w:tcPr>
            <w:tcW w:w="850" w:type="dxa"/>
            <w:shd w:val="clear" w:color="auto" w:fill="FFFFFF" w:themeFill="background1"/>
            <w:vAlign w:val="center"/>
          </w:tcPr>
          <w:p w14:paraId="56C14D81" w14:textId="77777777" w:rsidR="0051780C" w:rsidRPr="00F0687E" w:rsidRDefault="0051780C" w:rsidP="00A573C4">
            <w:pPr>
              <w:pStyle w:val="FSTableText"/>
              <w:rPr>
                <w:lang w:val="en-GB" w:eastAsia="en-AU" w:bidi="ar-SA"/>
              </w:rPr>
            </w:pPr>
            <w:r w:rsidRPr="00F0687E">
              <w:rPr>
                <w:lang w:val="en-GB" w:eastAsia="en-AU" w:bidi="ar-SA"/>
              </w:rPr>
              <w:t>2.88</w:t>
            </w:r>
          </w:p>
        </w:tc>
        <w:tc>
          <w:tcPr>
            <w:tcW w:w="1240" w:type="dxa"/>
            <w:shd w:val="clear" w:color="auto" w:fill="FFFFFF" w:themeFill="background1"/>
            <w:vAlign w:val="center"/>
          </w:tcPr>
          <w:p w14:paraId="50C73257" w14:textId="77777777" w:rsidR="0051780C" w:rsidRPr="00F0687E" w:rsidRDefault="0051780C" w:rsidP="00A573C4">
            <w:pPr>
              <w:pStyle w:val="FSTableText"/>
              <w:rPr>
                <w:lang w:val="en-GB" w:eastAsia="en-AU" w:bidi="ar-SA"/>
              </w:rPr>
            </w:pPr>
            <w:r w:rsidRPr="00F0687E">
              <w:rPr>
                <w:lang w:val="en-GB" w:eastAsia="en-AU" w:bidi="ar-SA"/>
              </w:rPr>
              <w:t>0.074</w:t>
            </w:r>
          </w:p>
        </w:tc>
      </w:tr>
      <w:tr w:rsidR="0051780C" w:rsidRPr="00552334" w14:paraId="4EC41171" w14:textId="77777777" w:rsidTr="00A573C4">
        <w:trPr>
          <w:trHeight w:val="510"/>
        </w:trPr>
        <w:tc>
          <w:tcPr>
            <w:tcW w:w="1951" w:type="dxa"/>
            <w:vAlign w:val="center"/>
          </w:tcPr>
          <w:p w14:paraId="18DD59AE" w14:textId="4AE190CF" w:rsidR="0051780C" w:rsidRPr="00F0687E" w:rsidRDefault="0051780C" w:rsidP="00A573C4">
            <w:pPr>
              <w:pStyle w:val="FSTableText"/>
              <w:rPr>
                <w:lang w:val="en-GB" w:eastAsia="en-AU" w:bidi="ar-SA"/>
              </w:rPr>
            </w:pPr>
            <w:r w:rsidRPr="00F0687E">
              <w:rPr>
                <w:lang w:val="en-GB" w:eastAsia="en-AU" w:bidi="ar-SA"/>
              </w:rPr>
              <w:t>13</w:t>
            </w:r>
            <w:r w:rsidR="00724D8F">
              <w:rPr>
                <w:lang w:val="en-GB" w:eastAsia="en-AU" w:bidi="ar-SA"/>
              </w:rPr>
              <w:t>–</w:t>
            </w:r>
            <w:r w:rsidRPr="00F0687E">
              <w:rPr>
                <w:lang w:val="en-GB" w:eastAsia="en-AU" w:bidi="ar-SA"/>
              </w:rPr>
              <w:t>17 years</w:t>
            </w:r>
          </w:p>
          <w:p w14:paraId="7EC61EE8" w14:textId="77777777" w:rsidR="0051780C" w:rsidRPr="00F0687E" w:rsidRDefault="0051780C" w:rsidP="00A573C4">
            <w:pPr>
              <w:pStyle w:val="FSTableText"/>
              <w:rPr>
                <w:lang w:val="en-GB" w:eastAsia="en-AU" w:bidi="ar-SA"/>
              </w:rPr>
            </w:pPr>
            <w:r w:rsidRPr="00F0687E">
              <w:rPr>
                <w:lang w:val="en-GB" w:eastAsia="en-AU" w:bidi="ar-SA"/>
              </w:rPr>
              <w:t>(746)</w:t>
            </w:r>
          </w:p>
        </w:tc>
        <w:tc>
          <w:tcPr>
            <w:tcW w:w="1418" w:type="dxa"/>
            <w:vAlign w:val="center"/>
          </w:tcPr>
          <w:p w14:paraId="119C9B0D" w14:textId="77777777" w:rsidR="0051780C" w:rsidRPr="00F0687E" w:rsidRDefault="0051780C" w:rsidP="00A573C4">
            <w:pPr>
              <w:pStyle w:val="FSTableText"/>
              <w:rPr>
                <w:lang w:val="en-GB" w:eastAsia="en-AU" w:bidi="ar-SA"/>
              </w:rPr>
            </w:pPr>
            <w:r w:rsidRPr="00F0687E">
              <w:rPr>
                <w:lang w:val="en-GB" w:eastAsia="en-AU" w:bidi="ar-SA"/>
              </w:rPr>
              <w:t xml:space="preserve">  11</w:t>
            </w:r>
          </w:p>
        </w:tc>
        <w:tc>
          <w:tcPr>
            <w:tcW w:w="1701" w:type="dxa"/>
            <w:vAlign w:val="center"/>
          </w:tcPr>
          <w:p w14:paraId="3FF5036F" w14:textId="77777777" w:rsidR="0051780C" w:rsidRPr="00F0687E" w:rsidRDefault="0051780C" w:rsidP="00A573C4">
            <w:pPr>
              <w:pStyle w:val="FSTableText"/>
              <w:rPr>
                <w:lang w:val="en-GB" w:eastAsia="en-AU" w:bidi="ar-SA"/>
              </w:rPr>
            </w:pPr>
            <w:r w:rsidRPr="00F0687E">
              <w:rPr>
                <w:lang w:val="en-GB" w:eastAsia="en-AU" w:bidi="ar-SA"/>
              </w:rPr>
              <w:t>1.4%</w:t>
            </w:r>
          </w:p>
        </w:tc>
        <w:tc>
          <w:tcPr>
            <w:tcW w:w="850" w:type="dxa"/>
            <w:shd w:val="clear" w:color="auto" w:fill="FFFFFF" w:themeFill="background1"/>
            <w:vAlign w:val="center"/>
          </w:tcPr>
          <w:p w14:paraId="35919EA1" w14:textId="77777777" w:rsidR="0051780C" w:rsidRPr="00F0687E" w:rsidRDefault="0051780C" w:rsidP="00A573C4">
            <w:pPr>
              <w:pStyle w:val="FSTableText"/>
              <w:rPr>
                <w:lang w:val="en-GB" w:eastAsia="en-AU" w:bidi="ar-SA"/>
              </w:rPr>
            </w:pPr>
            <w:r w:rsidRPr="00F0687E">
              <w:rPr>
                <w:lang w:val="en-GB" w:eastAsia="en-AU" w:bidi="ar-SA"/>
              </w:rPr>
              <w:t>1.41</w:t>
            </w:r>
          </w:p>
        </w:tc>
        <w:tc>
          <w:tcPr>
            <w:tcW w:w="1276" w:type="dxa"/>
            <w:shd w:val="clear" w:color="auto" w:fill="FFFFFF" w:themeFill="background1"/>
            <w:vAlign w:val="center"/>
          </w:tcPr>
          <w:p w14:paraId="2E7F5025" w14:textId="77777777" w:rsidR="0051780C" w:rsidRPr="00F0687E" w:rsidRDefault="0051780C" w:rsidP="00A573C4">
            <w:pPr>
              <w:pStyle w:val="FSTableText"/>
              <w:rPr>
                <w:lang w:val="en-GB" w:eastAsia="en-AU" w:bidi="ar-SA"/>
              </w:rPr>
            </w:pPr>
            <w:r w:rsidRPr="00F0687E">
              <w:rPr>
                <w:lang w:val="en-GB" w:eastAsia="en-AU" w:bidi="ar-SA"/>
              </w:rPr>
              <w:t>0.021</w:t>
            </w:r>
          </w:p>
        </w:tc>
        <w:tc>
          <w:tcPr>
            <w:tcW w:w="850" w:type="dxa"/>
            <w:shd w:val="clear" w:color="auto" w:fill="FFFFFF" w:themeFill="background1"/>
            <w:vAlign w:val="center"/>
          </w:tcPr>
          <w:p w14:paraId="6532641F" w14:textId="77777777" w:rsidR="0051780C" w:rsidRPr="00F0687E" w:rsidRDefault="0051780C" w:rsidP="00A573C4">
            <w:pPr>
              <w:pStyle w:val="FSTableText"/>
              <w:rPr>
                <w:lang w:val="en-GB" w:eastAsia="en-AU" w:bidi="ar-SA"/>
              </w:rPr>
            </w:pPr>
            <w:r w:rsidRPr="00F0687E">
              <w:rPr>
                <w:lang w:val="en-GB" w:eastAsia="en-AU" w:bidi="ar-SA"/>
              </w:rPr>
              <w:t>2.73</w:t>
            </w:r>
          </w:p>
        </w:tc>
        <w:tc>
          <w:tcPr>
            <w:tcW w:w="1240" w:type="dxa"/>
            <w:shd w:val="clear" w:color="auto" w:fill="FFFFFF" w:themeFill="background1"/>
            <w:vAlign w:val="center"/>
          </w:tcPr>
          <w:p w14:paraId="5937DA71" w14:textId="77777777" w:rsidR="0051780C" w:rsidRPr="00F0687E" w:rsidRDefault="0051780C" w:rsidP="00A573C4">
            <w:pPr>
              <w:pStyle w:val="FSTableText"/>
              <w:rPr>
                <w:lang w:val="en-GB" w:eastAsia="en-AU" w:bidi="ar-SA"/>
              </w:rPr>
            </w:pPr>
            <w:r w:rsidRPr="00F0687E">
              <w:rPr>
                <w:lang w:val="en-GB" w:eastAsia="en-AU" w:bidi="ar-SA"/>
              </w:rPr>
              <w:t>0.038</w:t>
            </w:r>
          </w:p>
        </w:tc>
      </w:tr>
      <w:tr w:rsidR="0051780C" w:rsidRPr="00552334" w14:paraId="6102A11A" w14:textId="77777777" w:rsidTr="00A573C4">
        <w:trPr>
          <w:trHeight w:val="510"/>
        </w:trPr>
        <w:tc>
          <w:tcPr>
            <w:tcW w:w="1951" w:type="dxa"/>
            <w:vAlign w:val="center"/>
          </w:tcPr>
          <w:p w14:paraId="52DE0792" w14:textId="068AA916" w:rsidR="0051780C" w:rsidRPr="00F0687E" w:rsidRDefault="0051780C" w:rsidP="00A573C4">
            <w:pPr>
              <w:pStyle w:val="FSTableText"/>
              <w:rPr>
                <w:lang w:val="en-GB" w:eastAsia="en-AU" w:bidi="ar-SA"/>
              </w:rPr>
            </w:pPr>
            <w:r w:rsidRPr="00F0687E">
              <w:rPr>
                <w:lang w:val="en-GB" w:eastAsia="en-AU" w:bidi="ar-SA"/>
              </w:rPr>
              <w:t>18</w:t>
            </w:r>
            <w:r w:rsidR="00724D8F">
              <w:rPr>
                <w:lang w:val="en-GB" w:eastAsia="en-AU" w:bidi="ar-SA"/>
              </w:rPr>
              <w:t>–</w:t>
            </w:r>
            <w:r w:rsidRPr="00F0687E">
              <w:rPr>
                <w:lang w:val="en-GB" w:eastAsia="en-AU" w:bidi="ar-SA"/>
              </w:rPr>
              <w:t>44 years</w:t>
            </w:r>
          </w:p>
          <w:p w14:paraId="2AD55EFB" w14:textId="77777777" w:rsidR="0051780C" w:rsidRPr="00F0687E" w:rsidRDefault="0051780C" w:rsidP="00A573C4">
            <w:pPr>
              <w:pStyle w:val="FSTableText"/>
              <w:rPr>
                <w:lang w:val="en-GB" w:eastAsia="en-AU" w:bidi="ar-SA"/>
              </w:rPr>
            </w:pPr>
            <w:r w:rsidRPr="00F0687E">
              <w:rPr>
                <w:lang w:val="en-GB" w:eastAsia="en-AU" w:bidi="ar-SA"/>
              </w:rPr>
              <w:t>(4818)</w:t>
            </w:r>
          </w:p>
        </w:tc>
        <w:tc>
          <w:tcPr>
            <w:tcW w:w="1418" w:type="dxa"/>
            <w:vAlign w:val="center"/>
          </w:tcPr>
          <w:p w14:paraId="56A98F16" w14:textId="77777777" w:rsidR="0051780C" w:rsidRPr="00F0687E" w:rsidRDefault="0051780C" w:rsidP="00A573C4">
            <w:pPr>
              <w:pStyle w:val="FSTableText"/>
              <w:rPr>
                <w:lang w:val="en-GB" w:eastAsia="en-AU" w:bidi="ar-SA"/>
              </w:rPr>
            </w:pPr>
            <w:r w:rsidRPr="00F0687E">
              <w:rPr>
                <w:lang w:val="en-GB" w:eastAsia="en-AU" w:bidi="ar-SA"/>
              </w:rPr>
              <w:t xml:space="preserve">  92</w:t>
            </w:r>
          </w:p>
        </w:tc>
        <w:tc>
          <w:tcPr>
            <w:tcW w:w="1701" w:type="dxa"/>
            <w:vAlign w:val="center"/>
          </w:tcPr>
          <w:p w14:paraId="41E318E8" w14:textId="77777777" w:rsidR="0051780C" w:rsidRPr="00F0687E" w:rsidRDefault="0051780C" w:rsidP="00A573C4">
            <w:pPr>
              <w:pStyle w:val="FSTableText"/>
              <w:rPr>
                <w:lang w:val="en-GB" w:eastAsia="en-AU" w:bidi="ar-SA"/>
              </w:rPr>
            </w:pPr>
            <w:r w:rsidRPr="00F0687E">
              <w:rPr>
                <w:lang w:val="en-GB" w:eastAsia="en-AU" w:bidi="ar-SA"/>
              </w:rPr>
              <w:t>1.9%</w:t>
            </w:r>
          </w:p>
        </w:tc>
        <w:tc>
          <w:tcPr>
            <w:tcW w:w="850" w:type="dxa"/>
            <w:shd w:val="clear" w:color="auto" w:fill="FFFFFF" w:themeFill="background1"/>
            <w:vAlign w:val="center"/>
          </w:tcPr>
          <w:p w14:paraId="403F54EC" w14:textId="77777777" w:rsidR="0051780C" w:rsidRPr="00F0687E" w:rsidRDefault="0051780C" w:rsidP="00A573C4">
            <w:pPr>
              <w:pStyle w:val="FSTableText"/>
              <w:rPr>
                <w:lang w:val="en-GB" w:eastAsia="en-AU" w:bidi="ar-SA"/>
              </w:rPr>
            </w:pPr>
            <w:r w:rsidRPr="00F0687E">
              <w:rPr>
                <w:lang w:val="en-GB" w:eastAsia="en-AU" w:bidi="ar-SA"/>
              </w:rPr>
              <w:t>0.66</w:t>
            </w:r>
          </w:p>
        </w:tc>
        <w:tc>
          <w:tcPr>
            <w:tcW w:w="1276" w:type="dxa"/>
            <w:shd w:val="clear" w:color="auto" w:fill="FFFFFF" w:themeFill="background1"/>
            <w:vAlign w:val="center"/>
          </w:tcPr>
          <w:p w14:paraId="58A9B700" w14:textId="77777777" w:rsidR="0051780C" w:rsidRPr="00F0687E" w:rsidRDefault="0051780C" w:rsidP="00A573C4">
            <w:pPr>
              <w:pStyle w:val="FSTableText"/>
              <w:rPr>
                <w:lang w:val="en-GB" w:eastAsia="en-AU" w:bidi="ar-SA"/>
              </w:rPr>
            </w:pPr>
            <w:r w:rsidRPr="00F0687E">
              <w:rPr>
                <w:lang w:val="en-GB" w:eastAsia="en-AU" w:bidi="ar-SA"/>
              </w:rPr>
              <w:t>0.009</w:t>
            </w:r>
          </w:p>
        </w:tc>
        <w:tc>
          <w:tcPr>
            <w:tcW w:w="850" w:type="dxa"/>
            <w:shd w:val="clear" w:color="auto" w:fill="FFFFFF" w:themeFill="background1"/>
            <w:vAlign w:val="center"/>
          </w:tcPr>
          <w:p w14:paraId="01DE6FF8" w14:textId="77777777" w:rsidR="0051780C" w:rsidRPr="00F0687E" w:rsidRDefault="0051780C" w:rsidP="00A573C4">
            <w:pPr>
              <w:pStyle w:val="FSTableText"/>
              <w:rPr>
                <w:lang w:val="en-GB" w:eastAsia="en-AU" w:bidi="ar-SA"/>
              </w:rPr>
            </w:pPr>
            <w:r w:rsidRPr="00F0687E">
              <w:rPr>
                <w:lang w:val="en-GB" w:eastAsia="en-AU" w:bidi="ar-SA"/>
              </w:rPr>
              <w:t>1.56</w:t>
            </w:r>
          </w:p>
        </w:tc>
        <w:tc>
          <w:tcPr>
            <w:tcW w:w="1240" w:type="dxa"/>
            <w:shd w:val="clear" w:color="auto" w:fill="FFFFFF" w:themeFill="background1"/>
            <w:vAlign w:val="center"/>
          </w:tcPr>
          <w:p w14:paraId="4D7A1EF6" w14:textId="77777777" w:rsidR="0051780C" w:rsidRPr="00F0687E" w:rsidRDefault="0051780C" w:rsidP="00A573C4">
            <w:pPr>
              <w:pStyle w:val="FSTableText"/>
              <w:rPr>
                <w:lang w:val="en-GB" w:eastAsia="en-AU" w:bidi="ar-SA"/>
              </w:rPr>
            </w:pPr>
            <w:r w:rsidRPr="00F0687E">
              <w:rPr>
                <w:lang w:val="en-GB" w:eastAsia="en-AU" w:bidi="ar-SA"/>
              </w:rPr>
              <w:t>0.017</w:t>
            </w:r>
          </w:p>
        </w:tc>
      </w:tr>
      <w:tr w:rsidR="0051780C" w:rsidRPr="00552334" w14:paraId="0FD0BA95" w14:textId="77777777" w:rsidTr="00A573C4">
        <w:trPr>
          <w:trHeight w:val="510"/>
        </w:trPr>
        <w:tc>
          <w:tcPr>
            <w:tcW w:w="1951" w:type="dxa"/>
            <w:vAlign w:val="center"/>
          </w:tcPr>
          <w:p w14:paraId="3CEB5C34" w14:textId="77777777" w:rsidR="0051780C" w:rsidRPr="00F0687E" w:rsidRDefault="0051780C" w:rsidP="00A573C4">
            <w:pPr>
              <w:pStyle w:val="FSTableText"/>
              <w:rPr>
                <w:lang w:val="en-GB" w:eastAsia="en-AU" w:bidi="ar-SA"/>
              </w:rPr>
            </w:pPr>
            <w:r w:rsidRPr="00F0687E">
              <w:rPr>
                <w:lang w:val="en-GB" w:eastAsia="en-AU" w:bidi="ar-SA"/>
              </w:rPr>
              <w:t>45+ years</w:t>
            </w:r>
          </w:p>
          <w:p w14:paraId="2C3D171A" w14:textId="77777777" w:rsidR="0051780C" w:rsidRPr="00F0687E" w:rsidRDefault="0051780C" w:rsidP="00A573C4">
            <w:pPr>
              <w:pStyle w:val="FSTableText"/>
              <w:rPr>
                <w:lang w:val="en-GB" w:eastAsia="en-AU" w:bidi="ar-SA"/>
              </w:rPr>
            </w:pPr>
            <w:r w:rsidRPr="00F0687E">
              <w:rPr>
                <w:lang w:val="en-GB" w:eastAsia="en-AU" w:bidi="ar-SA"/>
              </w:rPr>
              <w:t>(4804)</w:t>
            </w:r>
          </w:p>
        </w:tc>
        <w:tc>
          <w:tcPr>
            <w:tcW w:w="1418" w:type="dxa"/>
            <w:vAlign w:val="center"/>
          </w:tcPr>
          <w:p w14:paraId="3EABFC9D" w14:textId="77777777" w:rsidR="0051780C" w:rsidRPr="00F0687E" w:rsidRDefault="0051780C" w:rsidP="00A573C4">
            <w:pPr>
              <w:pStyle w:val="FSTableText"/>
              <w:rPr>
                <w:lang w:val="en-GB" w:eastAsia="en-AU" w:bidi="ar-SA"/>
              </w:rPr>
            </w:pPr>
            <w:r w:rsidRPr="00F0687E">
              <w:rPr>
                <w:lang w:val="en-GB" w:eastAsia="en-AU" w:bidi="ar-SA"/>
              </w:rPr>
              <w:t>318</w:t>
            </w:r>
          </w:p>
        </w:tc>
        <w:tc>
          <w:tcPr>
            <w:tcW w:w="1701" w:type="dxa"/>
            <w:vAlign w:val="center"/>
          </w:tcPr>
          <w:p w14:paraId="6706E767" w14:textId="77777777" w:rsidR="0051780C" w:rsidRPr="00F0687E" w:rsidRDefault="0051780C" w:rsidP="00A573C4">
            <w:pPr>
              <w:pStyle w:val="FSTableText"/>
              <w:rPr>
                <w:lang w:val="en-GB" w:eastAsia="en-AU" w:bidi="ar-SA"/>
              </w:rPr>
            </w:pPr>
            <w:r w:rsidRPr="00F0687E">
              <w:rPr>
                <w:lang w:val="en-GB" w:eastAsia="en-AU" w:bidi="ar-SA"/>
              </w:rPr>
              <w:t>6.6%</w:t>
            </w:r>
          </w:p>
        </w:tc>
        <w:tc>
          <w:tcPr>
            <w:tcW w:w="850" w:type="dxa"/>
            <w:shd w:val="clear" w:color="auto" w:fill="FFFFFF" w:themeFill="background1"/>
            <w:vAlign w:val="center"/>
          </w:tcPr>
          <w:p w14:paraId="0EE8487E" w14:textId="77777777" w:rsidR="0051780C" w:rsidRPr="00F0687E" w:rsidRDefault="0051780C" w:rsidP="00A573C4">
            <w:pPr>
              <w:pStyle w:val="FSTableText"/>
              <w:rPr>
                <w:lang w:val="en-GB" w:eastAsia="en-AU" w:bidi="ar-SA"/>
              </w:rPr>
            </w:pPr>
            <w:r w:rsidRPr="00F0687E">
              <w:rPr>
                <w:lang w:val="en-GB" w:eastAsia="en-AU" w:bidi="ar-SA"/>
              </w:rPr>
              <w:t>0.90</w:t>
            </w:r>
          </w:p>
        </w:tc>
        <w:tc>
          <w:tcPr>
            <w:tcW w:w="1276" w:type="dxa"/>
            <w:shd w:val="clear" w:color="auto" w:fill="FFFFFF" w:themeFill="background1"/>
            <w:vAlign w:val="center"/>
          </w:tcPr>
          <w:p w14:paraId="0031B6BC" w14:textId="77777777" w:rsidR="0051780C" w:rsidRPr="00F0687E" w:rsidRDefault="0051780C" w:rsidP="00A573C4">
            <w:pPr>
              <w:pStyle w:val="FSTableText"/>
              <w:rPr>
                <w:lang w:val="en-GB" w:eastAsia="en-AU" w:bidi="ar-SA"/>
              </w:rPr>
            </w:pPr>
            <w:r w:rsidRPr="00F0687E">
              <w:rPr>
                <w:lang w:val="en-GB" w:eastAsia="en-AU" w:bidi="ar-SA"/>
              </w:rPr>
              <w:t>0.012</w:t>
            </w:r>
          </w:p>
        </w:tc>
        <w:tc>
          <w:tcPr>
            <w:tcW w:w="850" w:type="dxa"/>
            <w:shd w:val="clear" w:color="auto" w:fill="FFFFFF" w:themeFill="background1"/>
            <w:vAlign w:val="center"/>
          </w:tcPr>
          <w:p w14:paraId="0E3BFD2D" w14:textId="77777777" w:rsidR="0051780C" w:rsidRPr="00F0687E" w:rsidRDefault="0051780C" w:rsidP="00A573C4">
            <w:pPr>
              <w:pStyle w:val="FSTableText"/>
              <w:rPr>
                <w:lang w:val="en-GB" w:eastAsia="en-AU" w:bidi="ar-SA"/>
              </w:rPr>
            </w:pPr>
            <w:r w:rsidRPr="00F0687E">
              <w:rPr>
                <w:lang w:val="en-GB" w:eastAsia="en-AU" w:bidi="ar-SA"/>
              </w:rPr>
              <w:t>1.95</w:t>
            </w:r>
          </w:p>
        </w:tc>
        <w:tc>
          <w:tcPr>
            <w:tcW w:w="1240" w:type="dxa"/>
            <w:shd w:val="clear" w:color="auto" w:fill="FFFFFF" w:themeFill="background1"/>
            <w:vAlign w:val="center"/>
          </w:tcPr>
          <w:p w14:paraId="2E6C67A4" w14:textId="77777777" w:rsidR="0051780C" w:rsidRPr="00F0687E" w:rsidRDefault="0051780C" w:rsidP="00A573C4">
            <w:pPr>
              <w:pStyle w:val="FSTableText"/>
              <w:rPr>
                <w:lang w:val="en-GB" w:eastAsia="en-AU" w:bidi="ar-SA"/>
              </w:rPr>
            </w:pPr>
            <w:r w:rsidRPr="00F0687E">
              <w:rPr>
                <w:lang w:val="en-GB" w:eastAsia="en-AU" w:bidi="ar-SA"/>
              </w:rPr>
              <w:t>0.026</w:t>
            </w:r>
          </w:p>
        </w:tc>
      </w:tr>
      <w:tr w:rsidR="0051780C" w:rsidRPr="00552334" w14:paraId="3D3F2D05" w14:textId="77777777" w:rsidTr="00A573C4">
        <w:trPr>
          <w:trHeight w:val="510"/>
        </w:trPr>
        <w:tc>
          <w:tcPr>
            <w:tcW w:w="1951" w:type="dxa"/>
            <w:vAlign w:val="center"/>
          </w:tcPr>
          <w:p w14:paraId="55928E11" w14:textId="77777777" w:rsidR="0051780C" w:rsidRPr="00F0687E" w:rsidRDefault="0051780C" w:rsidP="00A573C4">
            <w:pPr>
              <w:pStyle w:val="FSTableText"/>
              <w:rPr>
                <w:lang w:val="en-GB" w:eastAsia="en-AU" w:bidi="ar-SA"/>
              </w:rPr>
            </w:pPr>
            <w:r w:rsidRPr="00F0687E">
              <w:rPr>
                <w:lang w:val="en-GB" w:eastAsia="en-AU" w:bidi="ar-SA"/>
              </w:rPr>
              <w:t>2+years (all ages)</w:t>
            </w:r>
          </w:p>
          <w:p w14:paraId="7260F4E5" w14:textId="77777777" w:rsidR="0051780C" w:rsidRPr="00F0687E" w:rsidRDefault="0051780C" w:rsidP="00A573C4">
            <w:pPr>
              <w:pStyle w:val="FSTableText"/>
              <w:rPr>
                <w:lang w:val="en-GB" w:eastAsia="en-AU" w:bidi="ar-SA"/>
              </w:rPr>
            </w:pPr>
            <w:r w:rsidRPr="00F0687E">
              <w:rPr>
                <w:lang w:val="en-GB" w:eastAsia="en-AU" w:bidi="ar-SA"/>
              </w:rPr>
              <w:t>(12153)</w:t>
            </w:r>
          </w:p>
        </w:tc>
        <w:tc>
          <w:tcPr>
            <w:tcW w:w="1418" w:type="dxa"/>
            <w:vAlign w:val="center"/>
          </w:tcPr>
          <w:p w14:paraId="0C9FE36A" w14:textId="77777777" w:rsidR="0051780C" w:rsidRPr="00F0687E" w:rsidRDefault="0051780C" w:rsidP="00A573C4">
            <w:pPr>
              <w:pStyle w:val="FSTableText"/>
              <w:rPr>
                <w:lang w:val="en-GB" w:eastAsia="en-AU" w:bidi="ar-SA"/>
              </w:rPr>
            </w:pPr>
            <w:r w:rsidRPr="00F0687E">
              <w:rPr>
                <w:lang w:val="en-GB" w:eastAsia="en-AU" w:bidi="ar-SA"/>
              </w:rPr>
              <w:t>451</w:t>
            </w:r>
          </w:p>
        </w:tc>
        <w:tc>
          <w:tcPr>
            <w:tcW w:w="1701" w:type="dxa"/>
            <w:vAlign w:val="center"/>
          </w:tcPr>
          <w:p w14:paraId="6CE41479" w14:textId="77777777" w:rsidR="0051780C" w:rsidRPr="00F0687E" w:rsidRDefault="0051780C" w:rsidP="00A573C4">
            <w:pPr>
              <w:pStyle w:val="FSTableText"/>
              <w:rPr>
                <w:lang w:val="en-GB" w:eastAsia="en-AU" w:bidi="ar-SA"/>
              </w:rPr>
            </w:pPr>
            <w:r w:rsidRPr="00F0687E">
              <w:rPr>
                <w:lang w:val="en-GB" w:eastAsia="en-AU" w:bidi="ar-SA"/>
              </w:rPr>
              <w:t>3.7%</w:t>
            </w:r>
          </w:p>
        </w:tc>
        <w:tc>
          <w:tcPr>
            <w:tcW w:w="850" w:type="dxa"/>
            <w:shd w:val="clear" w:color="auto" w:fill="FFFFFF" w:themeFill="background1"/>
            <w:vAlign w:val="center"/>
          </w:tcPr>
          <w:p w14:paraId="04F2644A" w14:textId="77777777" w:rsidR="0051780C" w:rsidRPr="00F0687E" w:rsidRDefault="0051780C" w:rsidP="00A573C4">
            <w:pPr>
              <w:pStyle w:val="FSTableText"/>
              <w:rPr>
                <w:lang w:val="en-GB" w:eastAsia="en-AU" w:bidi="ar-SA"/>
              </w:rPr>
            </w:pPr>
            <w:r w:rsidRPr="00F0687E">
              <w:rPr>
                <w:lang w:val="en-GB" w:eastAsia="en-AU" w:bidi="ar-SA"/>
              </w:rPr>
              <w:t>0.86</w:t>
            </w:r>
          </w:p>
        </w:tc>
        <w:tc>
          <w:tcPr>
            <w:tcW w:w="1276" w:type="dxa"/>
            <w:shd w:val="clear" w:color="auto" w:fill="FFFFFF" w:themeFill="background1"/>
            <w:vAlign w:val="center"/>
          </w:tcPr>
          <w:p w14:paraId="61FE27CC" w14:textId="77777777" w:rsidR="0051780C" w:rsidRPr="00F0687E" w:rsidRDefault="0051780C" w:rsidP="00A573C4">
            <w:pPr>
              <w:pStyle w:val="FSTableText"/>
              <w:rPr>
                <w:lang w:val="en-GB" w:eastAsia="en-AU" w:bidi="ar-SA"/>
              </w:rPr>
            </w:pPr>
            <w:r w:rsidRPr="00F0687E">
              <w:rPr>
                <w:lang w:val="en-GB" w:eastAsia="en-AU" w:bidi="ar-SA"/>
              </w:rPr>
              <w:t>0.012</w:t>
            </w:r>
          </w:p>
        </w:tc>
        <w:tc>
          <w:tcPr>
            <w:tcW w:w="850" w:type="dxa"/>
            <w:shd w:val="clear" w:color="auto" w:fill="FFFFFF" w:themeFill="background1"/>
            <w:vAlign w:val="center"/>
          </w:tcPr>
          <w:p w14:paraId="6E49B0CC" w14:textId="77777777" w:rsidR="0051780C" w:rsidRPr="00F0687E" w:rsidRDefault="0051780C" w:rsidP="00A573C4">
            <w:pPr>
              <w:pStyle w:val="FSTableText"/>
              <w:rPr>
                <w:lang w:val="en-GB" w:eastAsia="en-AU" w:bidi="ar-SA"/>
              </w:rPr>
            </w:pPr>
            <w:r w:rsidRPr="00F0687E">
              <w:rPr>
                <w:lang w:val="en-GB" w:eastAsia="en-AU" w:bidi="ar-SA"/>
              </w:rPr>
              <w:t>1.95</w:t>
            </w:r>
          </w:p>
        </w:tc>
        <w:tc>
          <w:tcPr>
            <w:tcW w:w="1240" w:type="dxa"/>
            <w:shd w:val="clear" w:color="auto" w:fill="FFFFFF" w:themeFill="background1"/>
            <w:vAlign w:val="center"/>
          </w:tcPr>
          <w:p w14:paraId="1C106D56" w14:textId="77777777" w:rsidR="0051780C" w:rsidRPr="00F0687E" w:rsidRDefault="0051780C" w:rsidP="00A573C4">
            <w:pPr>
              <w:pStyle w:val="FSTableText"/>
              <w:rPr>
                <w:lang w:val="en-GB" w:eastAsia="en-AU" w:bidi="ar-SA"/>
              </w:rPr>
            </w:pPr>
            <w:r w:rsidRPr="00F0687E">
              <w:rPr>
                <w:lang w:val="en-GB" w:eastAsia="en-AU" w:bidi="ar-SA"/>
              </w:rPr>
              <w:t>0.028</w:t>
            </w:r>
          </w:p>
        </w:tc>
      </w:tr>
    </w:tbl>
    <w:p w14:paraId="327FBB4C" w14:textId="77777777" w:rsidR="00E55334" w:rsidRPr="006032CB" w:rsidRDefault="00E55334" w:rsidP="00E55334">
      <w:pPr>
        <w:rPr>
          <w:sz w:val="20"/>
          <w:szCs w:val="20"/>
          <w:vertAlign w:val="superscript"/>
          <w:lang w:val="en-GB" w:eastAsia="en-AU" w:bidi="ar-SA"/>
        </w:rPr>
      </w:pPr>
      <w:r w:rsidRPr="006032CB">
        <w:rPr>
          <w:sz w:val="20"/>
          <w:szCs w:val="20"/>
          <w:vertAlign w:val="superscript"/>
          <w:lang w:val="en-GB" w:eastAsia="en-AU" w:bidi="ar-SA"/>
        </w:rPr>
        <w:t xml:space="preserve"># </w:t>
      </w:r>
      <w:r w:rsidRPr="006032CB">
        <w:rPr>
          <w:sz w:val="20"/>
          <w:szCs w:val="20"/>
          <w:lang w:val="en-GB" w:eastAsia="en-AU"/>
        </w:rPr>
        <w:t xml:space="preserve">Expressed as </w:t>
      </w:r>
      <w:r>
        <w:rPr>
          <w:sz w:val="20"/>
          <w:szCs w:val="20"/>
          <w:lang w:val="en-GB" w:eastAsia="en-AU"/>
        </w:rPr>
        <w:t>plan</w:t>
      </w:r>
      <w:r w:rsidRPr="006032CB">
        <w:rPr>
          <w:sz w:val="20"/>
          <w:szCs w:val="20"/>
          <w:lang w:val="en-GB" w:eastAsia="en-AU"/>
        </w:rPr>
        <w:t>t sterol equivalents</w:t>
      </w:r>
    </w:p>
    <w:p w14:paraId="3BAEFC2C" w14:textId="77777777" w:rsidR="0051780C" w:rsidRPr="00F0687E" w:rsidRDefault="0051780C" w:rsidP="0051780C">
      <w:pPr>
        <w:rPr>
          <w:sz w:val="20"/>
          <w:szCs w:val="20"/>
          <w:lang w:val="en-GB" w:eastAsia="en-AU" w:bidi="ar-SA"/>
        </w:rPr>
      </w:pPr>
      <w:r w:rsidRPr="00F0687E">
        <w:rPr>
          <w:sz w:val="20"/>
          <w:szCs w:val="20"/>
          <w:lang w:val="en-GB" w:eastAsia="en-AU" w:bidi="ar-SA"/>
        </w:rPr>
        <w:t xml:space="preserve">* Day 1 results are shown in Table A2.2 to permit comparison to New Zealand data (which is Day 1 only). </w:t>
      </w:r>
    </w:p>
    <w:p w14:paraId="430CF847" w14:textId="14561F32" w:rsidR="0051780C" w:rsidRPr="00F0687E" w:rsidRDefault="00E55334" w:rsidP="0051780C">
      <w:pPr>
        <w:rPr>
          <w:lang w:val="en-GB" w:eastAsia="en-AU" w:bidi="ar-SA"/>
        </w:rPr>
      </w:pPr>
      <w:r>
        <w:rPr>
          <w:sz w:val="20"/>
          <w:szCs w:val="20"/>
          <w:lang w:val="en-GB" w:eastAsia="en-AU" w:bidi="ar-SA"/>
        </w:rPr>
        <w:t>^</w:t>
      </w:r>
      <w:r w:rsidR="0051780C" w:rsidRPr="00F0687E">
        <w:rPr>
          <w:sz w:val="20"/>
          <w:szCs w:val="20"/>
          <w:lang w:val="en-GB" w:eastAsia="en-AU" w:bidi="ar-SA"/>
        </w:rPr>
        <w:t xml:space="preserve"> Individual respondents’ exposures are divided by their own body weight before deriving mean and P90 dietary exposures </w:t>
      </w:r>
      <w:r w:rsidR="0051780C" w:rsidRPr="00F0687E">
        <w:rPr>
          <w:sz w:val="20"/>
          <w:szCs w:val="20"/>
          <w:lang w:val="en-GB" w:eastAsia="en-AU"/>
        </w:rPr>
        <w:t>and are expressed as plant sterol equivalents</w:t>
      </w:r>
      <w:r w:rsidR="0051780C" w:rsidRPr="00F0687E">
        <w:rPr>
          <w:lang w:val="en-GB" w:eastAsia="en-AU" w:bidi="ar-SA"/>
        </w:rPr>
        <w:t>.</w:t>
      </w:r>
    </w:p>
    <w:p w14:paraId="25A48E58" w14:textId="77777777" w:rsidR="0051780C" w:rsidRDefault="0051780C" w:rsidP="0051780C">
      <w:pPr>
        <w:pStyle w:val="FSTableTitle"/>
        <w:rPr>
          <w:lang w:val="en-GB"/>
        </w:rPr>
      </w:pPr>
      <w:r>
        <w:rPr>
          <w:lang w:val="en-GB"/>
        </w:rPr>
        <w:br w:type="page"/>
      </w:r>
    </w:p>
    <w:p w14:paraId="34F5964B" w14:textId="77777777" w:rsidR="0051780C" w:rsidRDefault="0051780C" w:rsidP="002166FB">
      <w:pPr>
        <w:pStyle w:val="FSTableTitle"/>
        <w:spacing w:after="120"/>
        <w:rPr>
          <w:lang w:val="en-GB"/>
        </w:rPr>
      </w:pPr>
      <w:r w:rsidRPr="00F0687E">
        <w:rPr>
          <w:lang w:val="en-GB"/>
        </w:rPr>
        <w:lastRenderedPageBreak/>
        <w:t>Table A3</w:t>
      </w:r>
      <w:r>
        <w:rPr>
          <w:lang w:val="en-GB"/>
        </w:rPr>
        <w:t>:</w:t>
      </w:r>
      <w:r w:rsidRPr="00F0687E">
        <w:rPr>
          <w:lang w:val="en-GB"/>
        </w:rPr>
        <w:t xml:space="preserve"> Estimated baseline dietary exposure to plant sterols for New Zealand children consuming foods with added plant sterols - 2002 NZ NCNS, by age groups</w:t>
      </w:r>
      <w:r>
        <w:rPr>
          <w:lang w:val="en-GB"/>
        </w:rPr>
        <w:t xml:space="preserve"> </w:t>
      </w:r>
    </w:p>
    <w:tbl>
      <w:tblPr>
        <w:tblStyle w:val="TableGrid"/>
        <w:tblW w:w="0" w:type="auto"/>
        <w:tblLayout w:type="fixed"/>
        <w:tblLook w:val="04A0" w:firstRow="1" w:lastRow="0" w:firstColumn="1" w:lastColumn="0" w:noHBand="0" w:noVBand="1"/>
        <w:tblCaption w:val=" Estimated baseline dietary exposure to plant sterols for New Zealand children consuming foods with added plant sterols - 2002 NZ NCNS, by age groups"/>
      </w:tblPr>
      <w:tblGrid>
        <w:gridCol w:w="2093"/>
        <w:gridCol w:w="1417"/>
        <w:gridCol w:w="1560"/>
        <w:gridCol w:w="708"/>
        <w:gridCol w:w="1418"/>
        <w:gridCol w:w="709"/>
        <w:gridCol w:w="1381"/>
      </w:tblGrid>
      <w:tr w:rsidR="0051780C" w:rsidRPr="00552334" w14:paraId="053BED4A" w14:textId="77777777" w:rsidTr="00A573C4">
        <w:trPr>
          <w:trHeight w:val="397"/>
          <w:tblHeader/>
        </w:trPr>
        <w:tc>
          <w:tcPr>
            <w:tcW w:w="2093" w:type="dxa"/>
            <w:vMerge w:val="restart"/>
            <w:vAlign w:val="center"/>
          </w:tcPr>
          <w:p w14:paraId="532D5149" w14:textId="77777777" w:rsidR="0051780C" w:rsidRPr="00F0687E" w:rsidRDefault="0051780C" w:rsidP="00A573C4">
            <w:pPr>
              <w:pStyle w:val="FSTableText"/>
              <w:rPr>
                <w:b/>
                <w:lang w:val="en-GB" w:eastAsia="en-AU" w:bidi="ar-SA"/>
              </w:rPr>
            </w:pPr>
            <w:r w:rsidRPr="00F0687E">
              <w:rPr>
                <w:b/>
                <w:lang w:val="en-GB" w:eastAsia="en-AU" w:bidi="ar-SA"/>
              </w:rPr>
              <w:t>Age Group</w:t>
            </w:r>
          </w:p>
          <w:p w14:paraId="0C9448E5"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7" w:type="dxa"/>
            <w:vMerge w:val="restart"/>
            <w:vAlign w:val="center"/>
          </w:tcPr>
          <w:p w14:paraId="2FBD37D5"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560" w:type="dxa"/>
            <w:vMerge w:val="restart"/>
            <w:vAlign w:val="center"/>
          </w:tcPr>
          <w:p w14:paraId="0913BA87" w14:textId="77777777" w:rsidR="0051780C" w:rsidRPr="00F0687E" w:rsidRDefault="0051780C" w:rsidP="00A573C4">
            <w:pPr>
              <w:pStyle w:val="FSTableText"/>
              <w:rPr>
                <w:b/>
                <w:lang w:val="en-GB" w:eastAsia="en-AU" w:bidi="ar-SA"/>
              </w:rPr>
            </w:pPr>
            <w:r w:rsidRPr="00F0687E">
              <w:rPr>
                <w:b/>
                <w:lang w:val="en-GB" w:eastAsia="en-AU" w:bidi="ar-SA"/>
              </w:rPr>
              <w:t>Consumers as percent of respondents</w:t>
            </w:r>
          </w:p>
        </w:tc>
        <w:tc>
          <w:tcPr>
            <w:tcW w:w="2126" w:type="dxa"/>
            <w:gridSpan w:val="2"/>
            <w:vAlign w:val="center"/>
          </w:tcPr>
          <w:p w14:paraId="54E77FD8" w14:textId="64854D6F" w:rsidR="0051780C" w:rsidRPr="00F0687E" w:rsidRDefault="0051780C" w:rsidP="00A573C4">
            <w:pPr>
              <w:pStyle w:val="FSTableText"/>
              <w:rPr>
                <w:b/>
                <w:lang w:val="en-GB" w:eastAsia="en-AU" w:bidi="ar-SA"/>
              </w:rPr>
            </w:pPr>
            <w:r w:rsidRPr="00F0687E">
              <w:rPr>
                <w:b/>
                <w:lang w:val="en-GB" w:eastAsia="en-AU" w:bidi="ar-SA"/>
              </w:rPr>
              <w:t>Mean exposure</w:t>
            </w:r>
            <w:r w:rsidR="00E55334" w:rsidRPr="006032CB">
              <w:rPr>
                <w:b/>
                <w:vertAlign w:val="superscript"/>
                <w:lang w:val="en-GB" w:eastAsia="en-AU" w:bidi="ar-SA"/>
              </w:rPr>
              <w:t>#</w:t>
            </w:r>
          </w:p>
        </w:tc>
        <w:tc>
          <w:tcPr>
            <w:tcW w:w="2090" w:type="dxa"/>
            <w:gridSpan w:val="2"/>
            <w:vAlign w:val="center"/>
          </w:tcPr>
          <w:p w14:paraId="50206127" w14:textId="56EB07C8" w:rsidR="0051780C" w:rsidRPr="00F0687E" w:rsidRDefault="0051780C" w:rsidP="00E55334">
            <w:pPr>
              <w:pStyle w:val="FSTableText"/>
              <w:rPr>
                <w:b/>
                <w:lang w:val="en-GB" w:eastAsia="en-AU" w:bidi="ar-SA"/>
              </w:rPr>
            </w:pPr>
            <w:r w:rsidRPr="00F0687E">
              <w:rPr>
                <w:b/>
                <w:lang w:val="en-GB" w:eastAsia="en-AU" w:bidi="ar-SA"/>
              </w:rPr>
              <w:t>P90 exposure</w:t>
            </w:r>
            <w:r w:rsidR="00E55334" w:rsidRPr="006032CB">
              <w:rPr>
                <w:b/>
                <w:vertAlign w:val="superscript"/>
                <w:lang w:val="en-GB" w:eastAsia="en-AU" w:bidi="ar-SA"/>
              </w:rPr>
              <w:t>#</w:t>
            </w:r>
            <w:r w:rsidR="00E55334">
              <w:rPr>
                <w:b/>
                <w:lang w:val="en-GB" w:eastAsia="en-AU" w:bidi="ar-SA"/>
              </w:rPr>
              <w:t>^</w:t>
            </w:r>
          </w:p>
        </w:tc>
      </w:tr>
      <w:tr w:rsidR="0051780C" w:rsidRPr="00552334" w14:paraId="5E058939" w14:textId="77777777" w:rsidTr="00A573C4">
        <w:trPr>
          <w:trHeight w:val="397"/>
          <w:tblHeader/>
        </w:trPr>
        <w:tc>
          <w:tcPr>
            <w:tcW w:w="2093" w:type="dxa"/>
            <w:vMerge/>
            <w:vAlign w:val="center"/>
          </w:tcPr>
          <w:p w14:paraId="670AD45F" w14:textId="77777777" w:rsidR="0051780C" w:rsidRPr="00F0687E" w:rsidRDefault="0051780C" w:rsidP="00A573C4">
            <w:pPr>
              <w:pStyle w:val="FSTableText"/>
              <w:rPr>
                <w:b/>
                <w:lang w:val="en-GB" w:eastAsia="en-AU" w:bidi="ar-SA"/>
              </w:rPr>
            </w:pPr>
          </w:p>
        </w:tc>
        <w:tc>
          <w:tcPr>
            <w:tcW w:w="1417" w:type="dxa"/>
            <w:vMerge/>
            <w:vAlign w:val="center"/>
          </w:tcPr>
          <w:p w14:paraId="25822BF6" w14:textId="77777777" w:rsidR="0051780C" w:rsidRPr="00F0687E" w:rsidRDefault="0051780C" w:rsidP="00A573C4">
            <w:pPr>
              <w:pStyle w:val="FSTableText"/>
              <w:rPr>
                <w:b/>
                <w:lang w:val="en-GB" w:eastAsia="en-AU" w:bidi="ar-SA"/>
              </w:rPr>
            </w:pPr>
          </w:p>
        </w:tc>
        <w:tc>
          <w:tcPr>
            <w:tcW w:w="1560" w:type="dxa"/>
            <w:vMerge/>
            <w:vAlign w:val="center"/>
          </w:tcPr>
          <w:p w14:paraId="0DDD41FB" w14:textId="77777777" w:rsidR="0051780C" w:rsidRPr="00F0687E" w:rsidRDefault="0051780C" w:rsidP="00A573C4">
            <w:pPr>
              <w:pStyle w:val="FSTableText"/>
              <w:rPr>
                <w:b/>
                <w:lang w:val="en-GB" w:eastAsia="en-AU" w:bidi="ar-SA"/>
              </w:rPr>
            </w:pPr>
          </w:p>
        </w:tc>
        <w:tc>
          <w:tcPr>
            <w:tcW w:w="708" w:type="dxa"/>
            <w:vAlign w:val="center"/>
          </w:tcPr>
          <w:p w14:paraId="7C38E3D7"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418" w:type="dxa"/>
            <w:vAlign w:val="center"/>
          </w:tcPr>
          <w:p w14:paraId="2D89AF02"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c>
          <w:tcPr>
            <w:tcW w:w="709" w:type="dxa"/>
            <w:vAlign w:val="center"/>
          </w:tcPr>
          <w:p w14:paraId="160BBBF7"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g/day</w:t>
            </w:r>
          </w:p>
        </w:tc>
        <w:tc>
          <w:tcPr>
            <w:tcW w:w="1381" w:type="dxa"/>
            <w:vAlign w:val="center"/>
          </w:tcPr>
          <w:p w14:paraId="5B36BD35" w14:textId="77777777" w:rsidR="0051780C" w:rsidRPr="00F0687E" w:rsidRDefault="0051780C" w:rsidP="00A573C4">
            <w:pPr>
              <w:pStyle w:val="FSTableText"/>
              <w:rPr>
                <w:b/>
                <w:sz w:val="18"/>
                <w:szCs w:val="18"/>
                <w:lang w:val="en-GB" w:eastAsia="en-AU" w:bidi="ar-SA"/>
              </w:rPr>
            </w:pPr>
            <w:r w:rsidRPr="00F0687E">
              <w:rPr>
                <w:b/>
                <w:i/>
                <w:sz w:val="18"/>
                <w:szCs w:val="18"/>
                <w:lang w:val="en-GB" w:eastAsia="en-AU" w:bidi="ar-SA"/>
              </w:rPr>
              <w:t>g/kg BW/day*</w:t>
            </w:r>
          </w:p>
        </w:tc>
      </w:tr>
      <w:tr w:rsidR="0051780C" w:rsidRPr="00552334" w14:paraId="3ADD8276" w14:textId="77777777" w:rsidTr="00A573C4">
        <w:trPr>
          <w:trHeight w:val="510"/>
        </w:trPr>
        <w:tc>
          <w:tcPr>
            <w:tcW w:w="2093" w:type="dxa"/>
            <w:shd w:val="clear" w:color="auto" w:fill="auto"/>
            <w:vAlign w:val="center"/>
          </w:tcPr>
          <w:p w14:paraId="156E29EC" w14:textId="33D95523" w:rsidR="0051780C" w:rsidRPr="00F0687E" w:rsidRDefault="0051780C" w:rsidP="00A573C4">
            <w:pPr>
              <w:pStyle w:val="FSTableText"/>
              <w:rPr>
                <w:lang w:val="en-GB" w:eastAsia="en-AU" w:bidi="ar-SA"/>
              </w:rPr>
            </w:pPr>
            <w:r w:rsidRPr="00F0687E">
              <w:rPr>
                <w:lang w:val="en-GB" w:eastAsia="en-AU" w:bidi="ar-SA"/>
              </w:rPr>
              <w:t>5</w:t>
            </w:r>
            <w:r w:rsidR="00724D8F">
              <w:rPr>
                <w:lang w:val="en-GB" w:eastAsia="en-AU" w:bidi="ar-SA"/>
              </w:rPr>
              <w:t>–</w:t>
            </w:r>
            <w:r w:rsidRPr="00F0687E">
              <w:rPr>
                <w:lang w:val="en-GB" w:eastAsia="en-AU" w:bidi="ar-SA"/>
              </w:rPr>
              <w:t>12 years</w:t>
            </w:r>
          </w:p>
          <w:p w14:paraId="3E4B10E3" w14:textId="77777777" w:rsidR="0051780C" w:rsidRPr="00F0687E" w:rsidRDefault="0051780C" w:rsidP="00A573C4">
            <w:pPr>
              <w:pStyle w:val="FSTableText"/>
              <w:rPr>
                <w:lang w:val="en-GB" w:eastAsia="en-AU" w:bidi="ar-SA"/>
              </w:rPr>
            </w:pPr>
            <w:r w:rsidRPr="00F0687E">
              <w:rPr>
                <w:lang w:val="en-GB" w:eastAsia="en-AU" w:bidi="ar-SA"/>
              </w:rPr>
              <w:t>(2640)</w:t>
            </w:r>
          </w:p>
        </w:tc>
        <w:tc>
          <w:tcPr>
            <w:tcW w:w="1417" w:type="dxa"/>
            <w:shd w:val="clear" w:color="auto" w:fill="auto"/>
            <w:vAlign w:val="center"/>
          </w:tcPr>
          <w:p w14:paraId="60D3993F" w14:textId="77777777" w:rsidR="0051780C" w:rsidRPr="00F0687E" w:rsidRDefault="0051780C" w:rsidP="00A573C4">
            <w:pPr>
              <w:pStyle w:val="FSTableText"/>
              <w:rPr>
                <w:lang w:val="en-GB" w:eastAsia="en-AU" w:bidi="ar-SA"/>
              </w:rPr>
            </w:pPr>
            <w:r w:rsidRPr="00F0687E">
              <w:rPr>
                <w:lang w:val="en-GB" w:eastAsia="en-AU" w:bidi="ar-SA"/>
              </w:rPr>
              <w:t>5</w:t>
            </w:r>
          </w:p>
        </w:tc>
        <w:tc>
          <w:tcPr>
            <w:tcW w:w="1560" w:type="dxa"/>
            <w:shd w:val="clear" w:color="auto" w:fill="auto"/>
            <w:vAlign w:val="center"/>
          </w:tcPr>
          <w:p w14:paraId="30AAFC59" w14:textId="77777777" w:rsidR="0051780C" w:rsidRPr="00F0687E" w:rsidRDefault="0051780C" w:rsidP="00A573C4">
            <w:pPr>
              <w:pStyle w:val="FSTableText"/>
              <w:rPr>
                <w:lang w:val="en-GB" w:eastAsia="en-AU" w:bidi="ar-SA"/>
              </w:rPr>
            </w:pPr>
            <w:r w:rsidRPr="00F0687E">
              <w:rPr>
                <w:lang w:val="en-GB" w:eastAsia="en-AU" w:bidi="ar-SA"/>
              </w:rPr>
              <w:t>0.18</w:t>
            </w:r>
          </w:p>
        </w:tc>
        <w:tc>
          <w:tcPr>
            <w:tcW w:w="708" w:type="dxa"/>
            <w:shd w:val="clear" w:color="auto" w:fill="auto"/>
            <w:vAlign w:val="center"/>
          </w:tcPr>
          <w:p w14:paraId="2A9FC2D7" w14:textId="77777777" w:rsidR="0051780C" w:rsidRPr="00F0687E" w:rsidRDefault="0051780C" w:rsidP="00A573C4">
            <w:pPr>
              <w:pStyle w:val="FSTableText"/>
              <w:rPr>
                <w:lang w:val="en-GB" w:eastAsia="en-AU" w:bidi="ar-SA"/>
              </w:rPr>
            </w:pPr>
            <w:r w:rsidRPr="00F0687E">
              <w:rPr>
                <w:lang w:val="en-GB" w:eastAsia="en-AU" w:bidi="ar-SA"/>
              </w:rPr>
              <w:t>1.10</w:t>
            </w:r>
          </w:p>
        </w:tc>
        <w:tc>
          <w:tcPr>
            <w:tcW w:w="1418" w:type="dxa"/>
            <w:shd w:val="clear" w:color="auto" w:fill="auto"/>
            <w:vAlign w:val="center"/>
          </w:tcPr>
          <w:p w14:paraId="4E028A25" w14:textId="77777777" w:rsidR="0051780C" w:rsidRPr="00F0687E" w:rsidRDefault="0051780C" w:rsidP="00A573C4">
            <w:pPr>
              <w:pStyle w:val="FSTableText"/>
              <w:rPr>
                <w:lang w:val="en-GB" w:eastAsia="en-AU" w:bidi="ar-SA"/>
              </w:rPr>
            </w:pPr>
            <w:r w:rsidRPr="00F0687E">
              <w:rPr>
                <w:lang w:val="en-GB" w:eastAsia="en-AU" w:bidi="ar-SA"/>
              </w:rPr>
              <w:t>0.036</w:t>
            </w:r>
          </w:p>
        </w:tc>
        <w:tc>
          <w:tcPr>
            <w:tcW w:w="709" w:type="dxa"/>
            <w:shd w:val="clear" w:color="auto" w:fill="auto"/>
            <w:vAlign w:val="center"/>
          </w:tcPr>
          <w:p w14:paraId="527A97B0"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shd w:val="clear" w:color="auto" w:fill="auto"/>
            <w:vAlign w:val="center"/>
          </w:tcPr>
          <w:p w14:paraId="441A2A81" w14:textId="77777777" w:rsidR="0051780C" w:rsidRPr="00F0687E" w:rsidRDefault="0051780C" w:rsidP="00A573C4">
            <w:pPr>
              <w:pStyle w:val="FSTableText"/>
              <w:rPr>
                <w:lang w:val="en-GB" w:eastAsia="en-AU" w:bidi="ar-SA"/>
              </w:rPr>
            </w:pPr>
            <w:r w:rsidRPr="00F0687E">
              <w:rPr>
                <w:lang w:val="en-GB" w:eastAsia="en-AU" w:bidi="ar-SA"/>
              </w:rPr>
              <w:t>na</w:t>
            </w:r>
          </w:p>
        </w:tc>
      </w:tr>
      <w:tr w:rsidR="0051780C" w:rsidRPr="00552334" w14:paraId="0C61893E" w14:textId="77777777" w:rsidTr="00A573C4">
        <w:trPr>
          <w:trHeight w:val="510"/>
        </w:trPr>
        <w:tc>
          <w:tcPr>
            <w:tcW w:w="2093" w:type="dxa"/>
            <w:shd w:val="clear" w:color="auto" w:fill="auto"/>
            <w:vAlign w:val="center"/>
          </w:tcPr>
          <w:p w14:paraId="5EE2BC69" w14:textId="7E719F8E" w:rsidR="0051780C" w:rsidRPr="00F0687E" w:rsidRDefault="0051780C" w:rsidP="00A573C4">
            <w:pPr>
              <w:pStyle w:val="FSTableText"/>
              <w:rPr>
                <w:lang w:val="en-GB" w:eastAsia="en-AU" w:bidi="ar-SA"/>
              </w:rPr>
            </w:pPr>
            <w:r w:rsidRPr="00F0687E">
              <w:rPr>
                <w:lang w:val="en-GB" w:eastAsia="en-AU" w:bidi="ar-SA"/>
              </w:rPr>
              <w:t>13</w:t>
            </w:r>
            <w:r w:rsidR="00724D8F">
              <w:rPr>
                <w:lang w:val="en-GB" w:eastAsia="en-AU" w:bidi="ar-SA"/>
              </w:rPr>
              <w:t>–</w:t>
            </w:r>
            <w:r w:rsidRPr="00F0687E">
              <w:rPr>
                <w:lang w:val="en-GB" w:eastAsia="en-AU" w:bidi="ar-SA"/>
              </w:rPr>
              <w:t>14 years</w:t>
            </w:r>
          </w:p>
          <w:p w14:paraId="3B62F64A" w14:textId="77777777" w:rsidR="0051780C" w:rsidRPr="00F0687E" w:rsidRDefault="0051780C" w:rsidP="00A573C4">
            <w:pPr>
              <w:pStyle w:val="FSTableText"/>
              <w:rPr>
                <w:lang w:val="en-GB" w:eastAsia="en-AU" w:bidi="ar-SA"/>
              </w:rPr>
            </w:pPr>
            <w:r w:rsidRPr="00F0687E">
              <w:rPr>
                <w:lang w:val="en-GB" w:eastAsia="en-AU" w:bidi="ar-SA"/>
              </w:rPr>
              <w:t>(635)</w:t>
            </w:r>
          </w:p>
        </w:tc>
        <w:tc>
          <w:tcPr>
            <w:tcW w:w="1417" w:type="dxa"/>
            <w:shd w:val="clear" w:color="auto" w:fill="auto"/>
            <w:vAlign w:val="center"/>
          </w:tcPr>
          <w:p w14:paraId="5E8F4F2B" w14:textId="77777777" w:rsidR="0051780C" w:rsidRPr="00F0687E" w:rsidRDefault="0051780C" w:rsidP="00A573C4">
            <w:pPr>
              <w:pStyle w:val="FSTableText"/>
              <w:rPr>
                <w:lang w:val="en-GB" w:eastAsia="en-AU" w:bidi="ar-SA"/>
              </w:rPr>
            </w:pPr>
            <w:r w:rsidRPr="00F0687E">
              <w:rPr>
                <w:lang w:val="en-GB" w:eastAsia="en-AU" w:bidi="ar-SA"/>
              </w:rPr>
              <w:t>2</w:t>
            </w:r>
          </w:p>
        </w:tc>
        <w:tc>
          <w:tcPr>
            <w:tcW w:w="1560" w:type="dxa"/>
            <w:shd w:val="clear" w:color="auto" w:fill="auto"/>
            <w:vAlign w:val="center"/>
          </w:tcPr>
          <w:p w14:paraId="3ADD201B" w14:textId="77777777" w:rsidR="0051780C" w:rsidRPr="00F0687E" w:rsidRDefault="0051780C" w:rsidP="00A573C4">
            <w:pPr>
              <w:pStyle w:val="FSTableText"/>
              <w:rPr>
                <w:lang w:val="en-GB" w:eastAsia="en-AU" w:bidi="ar-SA"/>
              </w:rPr>
            </w:pPr>
            <w:r w:rsidRPr="00F0687E">
              <w:rPr>
                <w:lang w:val="en-GB" w:eastAsia="en-AU" w:bidi="ar-SA"/>
              </w:rPr>
              <w:t>0.37</w:t>
            </w:r>
          </w:p>
        </w:tc>
        <w:tc>
          <w:tcPr>
            <w:tcW w:w="708" w:type="dxa"/>
            <w:shd w:val="clear" w:color="auto" w:fill="auto"/>
            <w:vAlign w:val="center"/>
          </w:tcPr>
          <w:p w14:paraId="50256C79" w14:textId="77777777" w:rsidR="0051780C" w:rsidRPr="00F0687E" w:rsidRDefault="0051780C" w:rsidP="00A573C4">
            <w:pPr>
              <w:pStyle w:val="FSTableText"/>
              <w:rPr>
                <w:lang w:val="en-GB" w:eastAsia="en-AU" w:bidi="ar-SA"/>
              </w:rPr>
            </w:pPr>
            <w:r w:rsidRPr="00F0687E">
              <w:rPr>
                <w:lang w:val="en-GB" w:eastAsia="en-AU" w:bidi="ar-SA"/>
              </w:rPr>
              <w:t>3.06</w:t>
            </w:r>
          </w:p>
        </w:tc>
        <w:tc>
          <w:tcPr>
            <w:tcW w:w="1418" w:type="dxa"/>
            <w:shd w:val="clear" w:color="auto" w:fill="auto"/>
            <w:vAlign w:val="center"/>
          </w:tcPr>
          <w:p w14:paraId="46BF2E6E" w14:textId="77777777" w:rsidR="0051780C" w:rsidRPr="00F0687E" w:rsidRDefault="0051780C" w:rsidP="00A573C4">
            <w:pPr>
              <w:pStyle w:val="FSTableText"/>
              <w:rPr>
                <w:lang w:val="en-GB" w:eastAsia="en-AU" w:bidi="ar-SA"/>
              </w:rPr>
            </w:pPr>
            <w:r w:rsidRPr="00F0687E">
              <w:rPr>
                <w:lang w:val="en-GB" w:eastAsia="en-AU" w:bidi="ar-SA"/>
              </w:rPr>
              <w:t>0.052</w:t>
            </w:r>
          </w:p>
        </w:tc>
        <w:tc>
          <w:tcPr>
            <w:tcW w:w="709" w:type="dxa"/>
            <w:shd w:val="clear" w:color="auto" w:fill="auto"/>
            <w:vAlign w:val="center"/>
          </w:tcPr>
          <w:p w14:paraId="2F650EF3"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shd w:val="clear" w:color="auto" w:fill="auto"/>
            <w:vAlign w:val="center"/>
          </w:tcPr>
          <w:p w14:paraId="52FB43B6" w14:textId="77777777" w:rsidR="0051780C" w:rsidRPr="00F0687E" w:rsidRDefault="0051780C" w:rsidP="00A573C4">
            <w:pPr>
              <w:pStyle w:val="FSTableText"/>
              <w:rPr>
                <w:lang w:val="en-GB" w:eastAsia="en-AU" w:bidi="ar-SA"/>
              </w:rPr>
            </w:pPr>
            <w:r w:rsidRPr="00F0687E">
              <w:rPr>
                <w:lang w:val="en-GB" w:eastAsia="en-AU" w:bidi="ar-SA"/>
              </w:rPr>
              <w:t>na</w:t>
            </w:r>
          </w:p>
        </w:tc>
      </w:tr>
      <w:tr w:rsidR="0051780C" w:rsidRPr="00552334" w14:paraId="15661012" w14:textId="77777777" w:rsidTr="00A573C4">
        <w:trPr>
          <w:trHeight w:val="510"/>
        </w:trPr>
        <w:tc>
          <w:tcPr>
            <w:tcW w:w="2093" w:type="dxa"/>
            <w:shd w:val="clear" w:color="auto" w:fill="auto"/>
            <w:vAlign w:val="center"/>
          </w:tcPr>
          <w:p w14:paraId="14DAC720" w14:textId="365633BD" w:rsidR="0051780C" w:rsidRPr="00F0687E" w:rsidRDefault="0051780C" w:rsidP="00A573C4">
            <w:pPr>
              <w:pStyle w:val="FSTableText"/>
              <w:rPr>
                <w:lang w:val="en-GB" w:eastAsia="en-AU" w:bidi="ar-SA"/>
              </w:rPr>
            </w:pPr>
            <w:r w:rsidRPr="00F0687E">
              <w:rPr>
                <w:lang w:val="en-GB" w:eastAsia="en-AU" w:bidi="ar-SA"/>
              </w:rPr>
              <w:t>5</w:t>
            </w:r>
            <w:r w:rsidR="00724D8F">
              <w:rPr>
                <w:lang w:val="en-GB" w:eastAsia="en-AU" w:bidi="ar-SA"/>
              </w:rPr>
              <w:t>–</w:t>
            </w:r>
            <w:r w:rsidRPr="00F0687E">
              <w:rPr>
                <w:lang w:val="en-GB" w:eastAsia="en-AU" w:bidi="ar-SA"/>
              </w:rPr>
              <w:t>14 years (all ages)</w:t>
            </w:r>
          </w:p>
          <w:p w14:paraId="2815C190" w14:textId="77777777" w:rsidR="0051780C" w:rsidRPr="00F0687E" w:rsidRDefault="0051780C" w:rsidP="00A573C4">
            <w:pPr>
              <w:pStyle w:val="FSTableText"/>
              <w:rPr>
                <w:lang w:val="en-GB" w:eastAsia="en-AU" w:bidi="ar-SA"/>
              </w:rPr>
            </w:pPr>
            <w:r w:rsidRPr="00F0687E">
              <w:rPr>
                <w:lang w:val="en-GB" w:eastAsia="en-AU" w:bidi="ar-SA"/>
              </w:rPr>
              <w:t>(3275)</w:t>
            </w:r>
          </w:p>
        </w:tc>
        <w:tc>
          <w:tcPr>
            <w:tcW w:w="1417" w:type="dxa"/>
            <w:shd w:val="clear" w:color="auto" w:fill="auto"/>
            <w:vAlign w:val="center"/>
          </w:tcPr>
          <w:p w14:paraId="65AF67DC" w14:textId="77777777" w:rsidR="0051780C" w:rsidRPr="00F0687E" w:rsidRDefault="0051780C" w:rsidP="00A573C4">
            <w:pPr>
              <w:pStyle w:val="FSTableText"/>
              <w:rPr>
                <w:lang w:val="en-GB" w:eastAsia="en-AU" w:bidi="ar-SA"/>
              </w:rPr>
            </w:pPr>
            <w:r w:rsidRPr="00F0687E">
              <w:rPr>
                <w:lang w:val="en-GB" w:eastAsia="en-AU" w:bidi="ar-SA"/>
              </w:rPr>
              <w:t>7</w:t>
            </w:r>
          </w:p>
        </w:tc>
        <w:tc>
          <w:tcPr>
            <w:tcW w:w="1560" w:type="dxa"/>
            <w:shd w:val="clear" w:color="auto" w:fill="auto"/>
            <w:vAlign w:val="center"/>
          </w:tcPr>
          <w:p w14:paraId="153045C1" w14:textId="77777777" w:rsidR="0051780C" w:rsidRPr="00F0687E" w:rsidRDefault="0051780C" w:rsidP="00A573C4">
            <w:pPr>
              <w:pStyle w:val="FSTableText"/>
              <w:rPr>
                <w:lang w:val="en-GB" w:eastAsia="en-AU" w:bidi="ar-SA"/>
              </w:rPr>
            </w:pPr>
            <w:r w:rsidRPr="00F0687E">
              <w:rPr>
                <w:lang w:val="en-GB" w:eastAsia="en-AU" w:bidi="ar-SA"/>
              </w:rPr>
              <w:t>0.22</w:t>
            </w:r>
          </w:p>
        </w:tc>
        <w:tc>
          <w:tcPr>
            <w:tcW w:w="708" w:type="dxa"/>
            <w:shd w:val="clear" w:color="auto" w:fill="auto"/>
            <w:vAlign w:val="center"/>
          </w:tcPr>
          <w:p w14:paraId="77F0C6FD" w14:textId="77777777" w:rsidR="0051780C" w:rsidRPr="00F0687E" w:rsidRDefault="0051780C" w:rsidP="00A573C4">
            <w:pPr>
              <w:pStyle w:val="FSTableText"/>
              <w:rPr>
                <w:lang w:val="en-GB" w:eastAsia="en-AU" w:bidi="ar-SA"/>
              </w:rPr>
            </w:pPr>
            <w:r w:rsidRPr="00F0687E">
              <w:rPr>
                <w:lang w:val="en-GB" w:eastAsia="en-AU" w:bidi="ar-SA"/>
              </w:rPr>
              <w:t>1.75</w:t>
            </w:r>
          </w:p>
        </w:tc>
        <w:tc>
          <w:tcPr>
            <w:tcW w:w="1418" w:type="dxa"/>
            <w:shd w:val="clear" w:color="auto" w:fill="auto"/>
            <w:vAlign w:val="center"/>
          </w:tcPr>
          <w:p w14:paraId="6B0EDBDB" w14:textId="77777777" w:rsidR="0051780C" w:rsidRPr="00F0687E" w:rsidRDefault="0051780C" w:rsidP="00A573C4">
            <w:pPr>
              <w:pStyle w:val="FSTableText"/>
              <w:rPr>
                <w:lang w:val="en-GB" w:eastAsia="en-AU" w:bidi="ar-SA"/>
              </w:rPr>
            </w:pPr>
            <w:r w:rsidRPr="00F0687E">
              <w:rPr>
                <w:lang w:val="en-GB" w:eastAsia="en-AU" w:bidi="ar-SA"/>
              </w:rPr>
              <w:t>0.041</w:t>
            </w:r>
          </w:p>
        </w:tc>
        <w:tc>
          <w:tcPr>
            <w:tcW w:w="709" w:type="dxa"/>
            <w:shd w:val="clear" w:color="auto" w:fill="auto"/>
            <w:vAlign w:val="center"/>
          </w:tcPr>
          <w:p w14:paraId="34155BD1"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shd w:val="clear" w:color="auto" w:fill="auto"/>
            <w:vAlign w:val="center"/>
          </w:tcPr>
          <w:p w14:paraId="32703320" w14:textId="77777777" w:rsidR="0051780C" w:rsidRPr="00F0687E" w:rsidRDefault="0051780C" w:rsidP="00A573C4">
            <w:pPr>
              <w:pStyle w:val="FSTableText"/>
              <w:rPr>
                <w:lang w:val="en-GB" w:eastAsia="en-AU" w:bidi="ar-SA"/>
              </w:rPr>
            </w:pPr>
            <w:r w:rsidRPr="00F0687E">
              <w:rPr>
                <w:lang w:val="en-GB" w:eastAsia="en-AU" w:bidi="ar-SA"/>
              </w:rPr>
              <w:t>na</w:t>
            </w:r>
          </w:p>
        </w:tc>
      </w:tr>
    </w:tbl>
    <w:p w14:paraId="5FF920F7" w14:textId="71DB4490" w:rsidR="00E55334" w:rsidRPr="006032CB" w:rsidRDefault="00E55334" w:rsidP="00E55334">
      <w:pPr>
        <w:rPr>
          <w:sz w:val="20"/>
          <w:szCs w:val="20"/>
          <w:vertAlign w:val="superscript"/>
          <w:lang w:val="en-GB" w:eastAsia="en-AU" w:bidi="ar-SA"/>
        </w:rPr>
      </w:pPr>
      <w:r w:rsidRPr="00E55334">
        <w:rPr>
          <w:vertAlign w:val="superscript"/>
          <w:lang w:val="en-GB" w:eastAsia="en-AU" w:bidi="ar-SA"/>
        </w:rPr>
        <w:t>#</w:t>
      </w:r>
      <w:r>
        <w:rPr>
          <w:vertAlign w:val="superscript"/>
          <w:lang w:val="en-GB" w:eastAsia="en-AU" w:bidi="ar-SA"/>
        </w:rPr>
        <w:t xml:space="preserve"> </w:t>
      </w:r>
      <w:r w:rsidRPr="006032CB">
        <w:rPr>
          <w:sz w:val="20"/>
          <w:szCs w:val="20"/>
          <w:lang w:val="en-GB" w:eastAsia="en-AU"/>
        </w:rPr>
        <w:t xml:space="preserve">Expressed as </w:t>
      </w:r>
      <w:r>
        <w:rPr>
          <w:sz w:val="20"/>
          <w:szCs w:val="20"/>
          <w:lang w:val="en-GB" w:eastAsia="en-AU"/>
        </w:rPr>
        <w:t>plan</w:t>
      </w:r>
      <w:r w:rsidRPr="006032CB">
        <w:rPr>
          <w:sz w:val="20"/>
          <w:szCs w:val="20"/>
          <w:lang w:val="en-GB" w:eastAsia="en-AU"/>
        </w:rPr>
        <w:t>t sterol equivalents</w:t>
      </w:r>
    </w:p>
    <w:p w14:paraId="078333EC" w14:textId="03E229E0" w:rsidR="0051780C" w:rsidRPr="00F0687E" w:rsidRDefault="0051780C" w:rsidP="00E55334">
      <w:pPr>
        <w:rPr>
          <w:sz w:val="20"/>
          <w:szCs w:val="20"/>
          <w:lang w:val="en-GB" w:eastAsia="en-AU" w:bidi="ar-SA"/>
        </w:rPr>
      </w:pPr>
      <w:r w:rsidRPr="00F0687E">
        <w:rPr>
          <w:sz w:val="20"/>
          <w:szCs w:val="20"/>
          <w:lang w:val="en-GB" w:eastAsia="en-AU" w:bidi="ar-SA"/>
        </w:rPr>
        <w:t>* Individual respondents’ exposures are divided by their own body weight before deriving mean and P90 dietary exposures</w:t>
      </w:r>
      <w:r w:rsidRPr="00F0687E">
        <w:rPr>
          <w:sz w:val="20"/>
          <w:szCs w:val="20"/>
          <w:lang w:val="en-GB" w:eastAsia="en-AU"/>
        </w:rPr>
        <w:t xml:space="preserve"> and are expressed as plant sterol equivalents</w:t>
      </w:r>
      <w:r w:rsidRPr="00F0687E">
        <w:rPr>
          <w:sz w:val="20"/>
          <w:szCs w:val="20"/>
          <w:lang w:val="en-GB" w:eastAsia="en-AU" w:bidi="ar-SA"/>
        </w:rPr>
        <w:t xml:space="preserve">. </w:t>
      </w:r>
    </w:p>
    <w:p w14:paraId="4F6B8CBF" w14:textId="1DE7E3D0" w:rsidR="0051780C" w:rsidRPr="00F0687E" w:rsidRDefault="00E55334" w:rsidP="0051780C">
      <w:pPr>
        <w:rPr>
          <w:sz w:val="20"/>
          <w:szCs w:val="20"/>
          <w:lang w:val="en-GB" w:eastAsia="en-AU" w:bidi="ar-SA"/>
        </w:rPr>
      </w:pPr>
      <w:r>
        <w:rPr>
          <w:sz w:val="20"/>
          <w:szCs w:val="20"/>
          <w:lang w:val="en-GB" w:eastAsia="en-AU" w:bidi="ar-SA"/>
        </w:rPr>
        <w:t>^</w:t>
      </w:r>
      <w:r w:rsidR="0051780C" w:rsidRPr="00F0687E">
        <w:rPr>
          <w:sz w:val="20"/>
          <w:szCs w:val="20"/>
          <w:lang w:val="en-GB" w:eastAsia="en-AU" w:bidi="ar-SA"/>
        </w:rPr>
        <w:t>na = not available (not reported as &lt;10 consumers)</w:t>
      </w:r>
    </w:p>
    <w:p w14:paraId="6C035513" w14:textId="77777777" w:rsidR="0051780C" w:rsidRPr="00F0687E" w:rsidRDefault="0051780C" w:rsidP="0051780C">
      <w:pPr>
        <w:rPr>
          <w:lang w:val="en-GB" w:eastAsia="en-AU" w:bidi="ar-SA"/>
        </w:rPr>
      </w:pPr>
    </w:p>
    <w:p w14:paraId="761775A1" w14:textId="77777777" w:rsidR="0051780C" w:rsidRDefault="0051780C" w:rsidP="002166FB">
      <w:pPr>
        <w:pStyle w:val="FSTableTitle"/>
        <w:spacing w:after="120"/>
        <w:rPr>
          <w:lang w:val="en-GB"/>
        </w:rPr>
      </w:pPr>
      <w:r w:rsidRPr="00F0687E">
        <w:rPr>
          <w:lang w:val="en-GB"/>
        </w:rPr>
        <w:t>Table A4</w:t>
      </w:r>
      <w:r>
        <w:rPr>
          <w:lang w:val="en-GB"/>
        </w:rPr>
        <w:t xml:space="preserve">: </w:t>
      </w:r>
      <w:r w:rsidRPr="00F0687E">
        <w:rPr>
          <w:lang w:val="en-GB"/>
        </w:rPr>
        <w:t xml:space="preserve"> Estimated baseline dietary exposure to plant sterols for New Zealand adults consuming foods with added plant sterols - 2008 NZ ANS, by age groups</w:t>
      </w:r>
    </w:p>
    <w:tbl>
      <w:tblPr>
        <w:tblStyle w:val="TableGrid"/>
        <w:tblW w:w="0" w:type="auto"/>
        <w:tblLayout w:type="fixed"/>
        <w:tblLook w:val="04A0" w:firstRow="1" w:lastRow="0" w:firstColumn="1" w:lastColumn="0" w:noHBand="0" w:noVBand="1"/>
        <w:tblCaption w:val=" Estimated baseline dietary exposure to plant sterols for New Zealand children consuming foods with added plant sterols - 2002 NZ NCNS, by age groups"/>
      </w:tblPr>
      <w:tblGrid>
        <w:gridCol w:w="2093"/>
        <w:gridCol w:w="1417"/>
        <w:gridCol w:w="1560"/>
        <w:gridCol w:w="708"/>
        <w:gridCol w:w="1418"/>
        <w:gridCol w:w="709"/>
        <w:gridCol w:w="1381"/>
      </w:tblGrid>
      <w:tr w:rsidR="0051780C" w:rsidRPr="00552334" w14:paraId="4CA02848" w14:textId="77777777" w:rsidTr="00A573C4">
        <w:trPr>
          <w:trHeight w:val="510"/>
          <w:tblHeader/>
        </w:trPr>
        <w:tc>
          <w:tcPr>
            <w:tcW w:w="2093" w:type="dxa"/>
            <w:vMerge w:val="restart"/>
            <w:vAlign w:val="center"/>
          </w:tcPr>
          <w:p w14:paraId="4D558A50" w14:textId="77777777" w:rsidR="0051780C" w:rsidRPr="00F0687E" w:rsidRDefault="0051780C" w:rsidP="00A573C4">
            <w:pPr>
              <w:pStyle w:val="FSTableText"/>
              <w:rPr>
                <w:b/>
                <w:lang w:val="en-GB" w:eastAsia="en-AU" w:bidi="ar-SA"/>
              </w:rPr>
            </w:pPr>
            <w:r w:rsidRPr="00F0687E">
              <w:rPr>
                <w:b/>
                <w:lang w:val="en-GB" w:eastAsia="en-AU" w:bidi="ar-SA"/>
              </w:rPr>
              <w:t>Age Group</w:t>
            </w:r>
          </w:p>
          <w:p w14:paraId="65A7EDF6" w14:textId="77777777" w:rsidR="0051780C" w:rsidRPr="00F0687E" w:rsidRDefault="0051780C" w:rsidP="00A573C4">
            <w:pPr>
              <w:pStyle w:val="FSTableText"/>
              <w:rPr>
                <w:b/>
                <w:lang w:val="en-GB" w:eastAsia="en-AU" w:bidi="ar-SA"/>
              </w:rPr>
            </w:pPr>
            <w:r w:rsidRPr="00F0687E">
              <w:rPr>
                <w:b/>
                <w:lang w:val="en-GB" w:eastAsia="en-AU" w:bidi="ar-SA"/>
              </w:rPr>
              <w:t>(number of respondents)</w:t>
            </w:r>
          </w:p>
        </w:tc>
        <w:tc>
          <w:tcPr>
            <w:tcW w:w="1417" w:type="dxa"/>
            <w:vMerge w:val="restart"/>
            <w:vAlign w:val="center"/>
          </w:tcPr>
          <w:p w14:paraId="7660DA78" w14:textId="77777777" w:rsidR="0051780C" w:rsidRPr="00F0687E" w:rsidRDefault="0051780C" w:rsidP="00A573C4">
            <w:pPr>
              <w:pStyle w:val="FSTableText"/>
              <w:rPr>
                <w:b/>
                <w:lang w:val="en-GB" w:eastAsia="en-AU" w:bidi="ar-SA"/>
              </w:rPr>
            </w:pPr>
            <w:r w:rsidRPr="00F0687E">
              <w:rPr>
                <w:b/>
                <w:lang w:val="en-GB" w:eastAsia="en-AU" w:bidi="ar-SA"/>
              </w:rPr>
              <w:t xml:space="preserve">Number of consumers </w:t>
            </w:r>
          </w:p>
        </w:tc>
        <w:tc>
          <w:tcPr>
            <w:tcW w:w="1560" w:type="dxa"/>
            <w:vMerge w:val="restart"/>
            <w:vAlign w:val="center"/>
          </w:tcPr>
          <w:p w14:paraId="7CAA2134" w14:textId="77777777" w:rsidR="0051780C" w:rsidRPr="00F0687E" w:rsidRDefault="0051780C" w:rsidP="00A573C4">
            <w:pPr>
              <w:pStyle w:val="FSTableText"/>
              <w:rPr>
                <w:b/>
                <w:lang w:val="en-GB" w:eastAsia="en-AU" w:bidi="ar-SA"/>
              </w:rPr>
            </w:pPr>
            <w:r w:rsidRPr="00F0687E">
              <w:rPr>
                <w:b/>
                <w:lang w:val="en-GB" w:eastAsia="en-AU" w:bidi="ar-SA"/>
              </w:rPr>
              <w:t>Consumers as percent of respondents</w:t>
            </w:r>
          </w:p>
        </w:tc>
        <w:tc>
          <w:tcPr>
            <w:tcW w:w="2126" w:type="dxa"/>
            <w:gridSpan w:val="2"/>
            <w:vAlign w:val="center"/>
          </w:tcPr>
          <w:p w14:paraId="25C8D296" w14:textId="6253DEC8" w:rsidR="0051780C" w:rsidRPr="00F0687E" w:rsidRDefault="0051780C" w:rsidP="00A573C4">
            <w:pPr>
              <w:pStyle w:val="FSTableText"/>
              <w:rPr>
                <w:b/>
                <w:lang w:val="en-GB" w:eastAsia="en-AU" w:bidi="ar-SA"/>
              </w:rPr>
            </w:pPr>
            <w:r w:rsidRPr="00F0687E">
              <w:rPr>
                <w:b/>
                <w:lang w:val="en-GB" w:eastAsia="en-AU" w:bidi="ar-SA"/>
              </w:rPr>
              <w:t>Mean exposure</w:t>
            </w:r>
            <w:r w:rsidR="00E55334" w:rsidRPr="006032CB">
              <w:rPr>
                <w:b/>
                <w:vertAlign w:val="superscript"/>
                <w:lang w:val="en-GB" w:eastAsia="en-AU" w:bidi="ar-SA"/>
              </w:rPr>
              <w:t>#</w:t>
            </w:r>
          </w:p>
        </w:tc>
        <w:tc>
          <w:tcPr>
            <w:tcW w:w="2090" w:type="dxa"/>
            <w:gridSpan w:val="2"/>
            <w:vAlign w:val="center"/>
          </w:tcPr>
          <w:p w14:paraId="2443805D" w14:textId="03432C6B" w:rsidR="0051780C" w:rsidRPr="00F0687E" w:rsidRDefault="0051780C" w:rsidP="00A573C4">
            <w:pPr>
              <w:pStyle w:val="FSTableText"/>
              <w:rPr>
                <w:b/>
                <w:lang w:val="en-GB" w:eastAsia="en-AU" w:bidi="ar-SA"/>
              </w:rPr>
            </w:pPr>
            <w:r w:rsidRPr="00F0687E">
              <w:rPr>
                <w:b/>
                <w:lang w:val="en-GB" w:eastAsia="en-AU" w:bidi="ar-SA"/>
              </w:rPr>
              <w:t>P90 exposure</w:t>
            </w:r>
            <w:r w:rsidR="00E55334" w:rsidRPr="006032CB">
              <w:rPr>
                <w:b/>
                <w:vertAlign w:val="superscript"/>
                <w:lang w:val="en-GB" w:eastAsia="en-AU" w:bidi="ar-SA"/>
              </w:rPr>
              <w:t>#</w:t>
            </w:r>
            <w:r w:rsidR="00E55334">
              <w:rPr>
                <w:b/>
                <w:lang w:val="en-GB" w:eastAsia="en-AU" w:bidi="ar-SA"/>
              </w:rPr>
              <w:t>^</w:t>
            </w:r>
          </w:p>
        </w:tc>
      </w:tr>
      <w:tr w:rsidR="0051780C" w:rsidRPr="00552334" w14:paraId="3A8D9A73" w14:textId="77777777" w:rsidTr="00A573C4">
        <w:trPr>
          <w:trHeight w:val="510"/>
          <w:tblHeader/>
        </w:trPr>
        <w:tc>
          <w:tcPr>
            <w:tcW w:w="2093" w:type="dxa"/>
            <w:vMerge/>
            <w:vAlign w:val="center"/>
          </w:tcPr>
          <w:p w14:paraId="37362A59" w14:textId="77777777" w:rsidR="0051780C" w:rsidRPr="00F0687E" w:rsidRDefault="0051780C" w:rsidP="00A573C4">
            <w:pPr>
              <w:pStyle w:val="FSTableText"/>
              <w:rPr>
                <w:b/>
                <w:lang w:val="en-GB" w:eastAsia="en-AU" w:bidi="ar-SA"/>
              </w:rPr>
            </w:pPr>
          </w:p>
        </w:tc>
        <w:tc>
          <w:tcPr>
            <w:tcW w:w="1417" w:type="dxa"/>
            <w:vMerge/>
            <w:vAlign w:val="center"/>
          </w:tcPr>
          <w:p w14:paraId="34036A28" w14:textId="77777777" w:rsidR="0051780C" w:rsidRPr="00F0687E" w:rsidRDefault="0051780C" w:rsidP="00A573C4">
            <w:pPr>
              <w:pStyle w:val="FSTableText"/>
              <w:rPr>
                <w:b/>
                <w:lang w:val="en-GB" w:eastAsia="en-AU" w:bidi="ar-SA"/>
              </w:rPr>
            </w:pPr>
          </w:p>
        </w:tc>
        <w:tc>
          <w:tcPr>
            <w:tcW w:w="1560" w:type="dxa"/>
            <w:vMerge/>
            <w:vAlign w:val="center"/>
          </w:tcPr>
          <w:p w14:paraId="020C4180" w14:textId="77777777" w:rsidR="0051780C" w:rsidRPr="00F0687E" w:rsidRDefault="0051780C" w:rsidP="00A573C4">
            <w:pPr>
              <w:pStyle w:val="FSTableText"/>
              <w:rPr>
                <w:b/>
                <w:lang w:val="en-GB" w:eastAsia="en-AU" w:bidi="ar-SA"/>
              </w:rPr>
            </w:pPr>
          </w:p>
        </w:tc>
        <w:tc>
          <w:tcPr>
            <w:tcW w:w="708" w:type="dxa"/>
            <w:vAlign w:val="center"/>
          </w:tcPr>
          <w:p w14:paraId="2B396B1F" w14:textId="77777777" w:rsidR="0051780C" w:rsidRPr="00F0687E" w:rsidRDefault="0051780C" w:rsidP="00A573C4">
            <w:pPr>
              <w:pStyle w:val="FSTableText"/>
              <w:rPr>
                <w:b/>
                <w:lang w:val="en-GB" w:eastAsia="en-AU" w:bidi="ar-SA"/>
              </w:rPr>
            </w:pPr>
            <w:r w:rsidRPr="00F0687E">
              <w:rPr>
                <w:b/>
                <w:i/>
                <w:sz w:val="18"/>
                <w:szCs w:val="18"/>
                <w:lang w:val="en-GB" w:eastAsia="en-AU" w:bidi="ar-SA"/>
              </w:rPr>
              <w:t>g/day</w:t>
            </w:r>
          </w:p>
        </w:tc>
        <w:tc>
          <w:tcPr>
            <w:tcW w:w="1418" w:type="dxa"/>
            <w:vAlign w:val="center"/>
          </w:tcPr>
          <w:p w14:paraId="54CF50C4" w14:textId="77777777" w:rsidR="0051780C" w:rsidRPr="00F0687E" w:rsidRDefault="0051780C" w:rsidP="00A573C4">
            <w:pPr>
              <w:pStyle w:val="FSTableText"/>
              <w:rPr>
                <w:b/>
                <w:lang w:val="en-GB" w:eastAsia="en-AU" w:bidi="ar-SA"/>
              </w:rPr>
            </w:pPr>
            <w:r w:rsidRPr="00F0687E">
              <w:rPr>
                <w:b/>
                <w:i/>
                <w:sz w:val="18"/>
                <w:szCs w:val="18"/>
                <w:lang w:val="en-GB" w:eastAsia="en-AU" w:bidi="ar-SA"/>
              </w:rPr>
              <w:t>g/kg BW/day*</w:t>
            </w:r>
          </w:p>
        </w:tc>
        <w:tc>
          <w:tcPr>
            <w:tcW w:w="709" w:type="dxa"/>
            <w:vAlign w:val="center"/>
          </w:tcPr>
          <w:p w14:paraId="305A4B24" w14:textId="77777777" w:rsidR="0051780C" w:rsidRPr="00F0687E" w:rsidRDefault="0051780C" w:rsidP="00A573C4">
            <w:pPr>
              <w:pStyle w:val="FSTableText"/>
              <w:rPr>
                <w:b/>
                <w:lang w:val="en-GB" w:eastAsia="en-AU" w:bidi="ar-SA"/>
              </w:rPr>
            </w:pPr>
            <w:r w:rsidRPr="00F0687E">
              <w:rPr>
                <w:b/>
                <w:i/>
                <w:sz w:val="18"/>
                <w:szCs w:val="18"/>
                <w:lang w:val="en-GB" w:eastAsia="en-AU" w:bidi="ar-SA"/>
              </w:rPr>
              <w:t>g/day</w:t>
            </w:r>
          </w:p>
        </w:tc>
        <w:tc>
          <w:tcPr>
            <w:tcW w:w="1381" w:type="dxa"/>
            <w:vAlign w:val="center"/>
          </w:tcPr>
          <w:p w14:paraId="1301790D" w14:textId="77777777" w:rsidR="0051780C" w:rsidRPr="00F0687E" w:rsidRDefault="0051780C" w:rsidP="00A573C4">
            <w:pPr>
              <w:pStyle w:val="FSTableText"/>
              <w:rPr>
                <w:b/>
                <w:lang w:val="en-GB" w:eastAsia="en-AU" w:bidi="ar-SA"/>
              </w:rPr>
            </w:pPr>
            <w:r w:rsidRPr="00F0687E">
              <w:rPr>
                <w:b/>
                <w:i/>
                <w:sz w:val="18"/>
                <w:szCs w:val="18"/>
                <w:lang w:val="en-GB" w:eastAsia="en-AU" w:bidi="ar-SA"/>
              </w:rPr>
              <w:t>g/kg BW/day*</w:t>
            </w:r>
          </w:p>
        </w:tc>
      </w:tr>
      <w:tr w:rsidR="0051780C" w:rsidRPr="00552334" w14:paraId="5F4467D3" w14:textId="77777777" w:rsidTr="00A573C4">
        <w:trPr>
          <w:trHeight w:val="510"/>
        </w:trPr>
        <w:tc>
          <w:tcPr>
            <w:tcW w:w="2093" w:type="dxa"/>
            <w:vAlign w:val="center"/>
          </w:tcPr>
          <w:p w14:paraId="656B067E" w14:textId="7AD06A8E" w:rsidR="0051780C" w:rsidRPr="00F0687E" w:rsidRDefault="0051780C" w:rsidP="00A573C4">
            <w:pPr>
              <w:pStyle w:val="FSTableText"/>
              <w:rPr>
                <w:lang w:val="en-GB" w:eastAsia="en-AU" w:bidi="ar-SA"/>
              </w:rPr>
            </w:pPr>
            <w:r w:rsidRPr="00F0687E">
              <w:rPr>
                <w:lang w:val="en-GB" w:eastAsia="en-AU" w:bidi="ar-SA"/>
              </w:rPr>
              <w:t>15</w:t>
            </w:r>
            <w:r w:rsidR="00724D8F">
              <w:rPr>
                <w:lang w:val="en-GB" w:eastAsia="en-AU" w:bidi="ar-SA"/>
              </w:rPr>
              <w:t>–</w:t>
            </w:r>
            <w:r w:rsidRPr="00F0687E">
              <w:rPr>
                <w:lang w:val="en-GB" w:eastAsia="en-AU" w:bidi="ar-SA"/>
              </w:rPr>
              <w:t>17 years</w:t>
            </w:r>
          </w:p>
          <w:p w14:paraId="55E4EC02" w14:textId="77777777" w:rsidR="0051780C" w:rsidRPr="00F0687E" w:rsidRDefault="0051780C" w:rsidP="00A573C4">
            <w:pPr>
              <w:pStyle w:val="FSTableText"/>
              <w:rPr>
                <w:lang w:val="en-GB" w:eastAsia="en-AU" w:bidi="ar-SA"/>
              </w:rPr>
            </w:pPr>
            <w:r w:rsidRPr="00F0687E">
              <w:rPr>
                <w:lang w:val="en-GB" w:eastAsia="en-AU" w:bidi="ar-SA"/>
              </w:rPr>
              <w:t>(266)</w:t>
            </w:r>
          </w:p>
        </w:tc>
        <w:tc>
          <w:tcPr>
            <w:tcW w:w="1417" w:type="dxa"/>
            <w:vAlign w:val="center"/>
          </w:tcPr>
          <w:p w14:paraId="4A3EF991" w14:textId="77777777" w:rsidR="0051780C" w:rsidRPr="00F0687E" w:rsidRDefault="0051780C" w:rsidP="00A573C4">
            <w:pPr>
              <w:pStyle w:val="FSTableText"/>
              <w:rPr>
                <w:lang w:val="en-GB" w:eastAsia="en-AU" w:bidi="ar-SA"/>
              </w:rPr>
            </w:pPr>
            <w:r w:rsidRPr="00F0687E">
              <w:rPr>
                <w:lang w:val="en-GB" w:eastAsia="en-AU" w:bidi="ar-SA"/>
              </w:rPr>
              <w:t xml:space="preserve">    4</w:t>
            </w:r>
          </w:p>
        </w:tc>
        <w:tc>
          <w:tcPr>
            <w:tcW w:w="1560" w:type="dxa"/>
            <w:vAlign w:val="center"/>
          </w:tcPr>
          <w:p w14:paraId="6CF91EA4" w14:textId="77777777" w:rsidR="0051780C" w:rsidRPr="00F0687E" w:rsidRDefault="0051780C" w:rsidP="00A573C4">
            <w:pPr>
              <w:pStyle w:val="FSTableText"/>
              <w:rPr>
                <w:lang w:val="en-GB" w:eastAsia="en-AU" w:bidi="ar-SA"/>
              </w:rPr>
            </w:pPr>
            <w:r w:rsidRPr="00F0687E">
              <w:rPr>
                <w:lang w:val="en-GB" w:eastAsia="en-AU" w:bidi="ar-SA"/>
              </w:rPr>
              <w:t>1.7%</w:t>
            </w:r>
          </w:p>
        </w:tc>
        <w:tc>
          <w:tcPr>
            <w:tcW w:w="708" w:type="dxa"/>
            <w:vAlign w:val="center"/>
          </w:tcPr>
          <w:p w14:paraId="2C197A28" w14:textId="77777777" w:rsidR="0051780C" w:rsidRPr="00F0687E" w:rsidRDefault="0051780C" w:rsidP="00A573C4">
            <w:pPr>
              <w:pStyle w:val="FSTableText"/>
              <w:rPr>
                <w:lang w:val="en-GB" w:eastAsia="en-AU" w:bidi="ar-SA"/>
              </w:rPr>
            </w:pPr>
            <w:r w:rsidRPr="00F0687E">
              <w:rPr>
                <w:lang w:val="en-GB" w:eastAsia="en-AU" w:bidi="ar-SA"/>
              </w:rPr>
              <w:t>1.84</w:t>
            </w:r>
          </w:p>
        </w:tc>
        <w:tc>
          <w:tcPr>
            <w:tcW w:w="1418" w:type="dxa"/>
            <w:vAlign w:val="center"/>
          </w:tcPr>
          <w:p w14:paraId="68701EAE" w14:textId="77777777" w:rsidR="0051780C" w:rsidRPr="00F0687E" w:rsidRDefault="0051780C" w:rsidP="00A573C4">
            <w:pPr>
              <w:pStyle w:val="FSTableText"/>
              <w:rPr>
                <w:lang w:val="en-GB" w:eastAsia="en-AU" w:bidi="ar-SA"/>
              </w:rPr>
            </w:pPr>
            <w:r w:rsidRPr="00F0687E">
              <w:rPr>
                <w:lang w:val="en-GB" w:eastAsia="en-AU" w:bidi="ar-SA"/>
              </w:rPr>
              <w:t>0.028</w:t>
            </w:r>
          </w:p>
        </w:tc>
        <w:tc>
          <w:tcPr>
            <w:tcW w:w="709" w:type="dxa"/>
            <w:vAlign w:val="center"/>
          </w:tcPr>
          <w:p w14:paraId="3055E45C" w14:textId="77777777" w:rsidR="0051780C" w:rsidRPr="00F0687E" w:rsidRDefault="0051780C" w:rsidP="00A573C4">
            <w:pPr>
              <w:pStyle w:val="FSTableText"/>
              <w:rPr>
                <w:lang w:val="en-GB" w:eastAsia="en-AU" w:bidi="ar-SA"/>
              </w:rPr>
            </w:pPr>
            <w:r w:rsidRPr="00F0687E">
              <w:rPr>
                <w:lang w:val="en-GB" w:eastAsia="en-AU" w:bidi="ar-SA"/>
              </w:rPr>
              <w:t>na</w:t>
            </w:r>
          </w:p>
        </w:tc>
        <w:tc>
          <w:tcPr>
            <w:tcW w:w="1381" w:type="dxa"/>
            <w:vAlign w:val="center"/>
          </w:tcPr>
          <w:p w14:paraId="6A266D85" w14:textId="77777777" w:rsidR="0051780C" w:rsidRPr="00F0687E" w:rsidRDefault="0051780C" w:rsidP="00A573C4">
            <w:pPr>
              <w:pStyle w:val="FSTableText"/>
              <w:rPr>
                <w:lang w:val="en-GB" w:eastAsia="en-AU" w:bidi="ar-SA"/>
              </w:rPr>
            </w:pPr>
            <w:r w:rsidRPr="00F0687E">
              <w:rPr>
                <w:lang w:val="en-GB" w:eastAsia="en-AU" w:bidi="ar-SA"/>
              </w:rPr>
              <w:t>na</w:t>
            </w:r>
          </w:p>
        </w:tc>
      </w:tr>
      <w:tr w:rsidR="0051780C" w:rsidRPr="00552334" w14:paraId="36539B85" w14:textId="77777777" w:rsidTr="00A573C4">
        <w:trPr>
          <w:trHeight w:val="510"/>
        </w:trPr>
        <w:tc>
          <w:tcPr>
            <w:tcW w:w="2093" w:type="dxa"/>
            <w:vAlign w:val="center"/>
          </w:tcPr>
          <w:p w14:paraId="5E4FE1B1" w14:textId="0BF5D334" w:rsidR="0051780C" w:rsidRPr="00F0687E" w:rsidRDefault="0051780C" w:rsidP="00A573C4">
            <w:pPr>
              <w:pStyle w:val="FSTableText"/>
              <w:rPr>
                <w:lang w:val="en-GB" w:eastAsia="en-AU" w:bidi="ar-SA"/>
              </w:rPr>
            </w:pPr>
            <w:r w:rsidRPr="00F0687E">
              <w:rPr>
                <w:lang w:val="en-GB" w:eastAsia="en-AU" w:bidi="ar-SA"/>
              </w:rPr>
              <w:t>18</w:t>
            </w:r>
            <w:r w:rsidR="00724D8F">
              <w:rPr>
                <w:lang w:val="en-GB" w:eastAsia="en-AU" w:bidi="ar-SA"/>
              </w:rPr>
              <w:t>–</w:t>
            </w:r>
            <w:r w:rsidRPr="00F0687E">
              <w:rPr>
                <w:lang w:val="en-GB" w:eastAsia="en-AU" w:bidi="ar-SA"/>
              </w:rPr>
              <w:t>44 years</w:t>
            </w:r>
          </w:p>
          <w:p w14:paraId="39922D8D" w14:textId="77777777" w:rsidR="0051780C" w:rsidRPr="00F0687E" w:rsidRDefault="0051780C" w:rsidP="00A573C4">
            <w:pPr>
              <w:pStyle w:val="FSTableText"/>
              <w:rPr>
                <w:lang w:val="en-GB" w:eastAsia="en-AU" w:bidi="ar-SA"/>
              </w:rPr>
            </w:pPr>
            <w:r w:rsidRPr="00F0687E">
              <w:rPr>
                <w:lang w:val="en-GB" w:eastAsia="en-AU" w:bidi="ar-SA"/>
              </w:rPr>
              <w:t>(2256)</w:t>
            </w:r>
          </w:p>
        </w:tc>
        <w:tc>
          <w:tcPr>
            <w:tcW w:w="1417" w:type="dxa"/>
            <w:vAlign w:val="center"/>
          </w:tcPr>
          <w:p w14:paraId="37EA436E" w14:textId="77777777" w:rsidR="0051780C" w:rsidRPr="00F0687E" w:rsidRDefault="0051780C" w:rsidP="00A573C4">
            <w:pPr>
              <w:pStyle w:val="FSTableText"/>
              <w:rPr>
                <w:lang w:val="en-GB" w:eastAsia="en-AU" w:bidi="ar-SA"/>
              </w:rPr>
            </w:pPr>
            <w:r w:rsidRPr="00F0687E">
              <w:rPr>
                <w:lang w:val="en-GB" w:eastAsia="en-AU" w:bidi="ar-SA"/>
              </w:rPr>
              <w:t xml:space="preserve">  51</w:t>
            </w:r>
          </w:p>
        </w:tc>
        <w:tc>
          <w:tcPr>
            <w:tcW w:w="1560" w:type="dxa"/>
            <w:vAlign w:val="center"/>
          </w:tcPr>
          <w:p w14:paraId="31299832" w14:textId="77777777" w:rsidR="0051780C" w:rsidRPr="00F0687E" w:rsidRDefault="0051780C" w:rsidP="00A573C4">
            <w:pPr>
              <w:pStyle w:val="FSTableText"/>
              <w:rPr>
                <w:lang w:val="en-GB" w:eastAsia="en-AU" w:bidi="ar-SA"/>
              </w:rPr>
            </w:pPr>
            <w:r w:rsidRPr="00F0687E">
              <w:rPr>
                <w:lang w:val="en-GB" w:eastAsia="en-AU" w:bidi="ar-SA"/>
              </w:rPr>
              <w:t>2.3%</w:t>
            </w:r>
          </w:p>
        </w:tc>
        <w:tc>
          <w:tcPr>
            <w:tcW w:w="708" w:type="dxa"/>
            <w:vAlign w:val="center"/>
          </w:tcPr>
          <w:p w14:paraId="23C089B6" w14:textId="77777777" w:rsidR="0051780C" w:rsidRPr="00F0687E" w:rsidRDefault="0051780C" w:rsidP="00A573C4">
            <w:pPr>
              <w:pStyle w:val="FSTableText"/>
              <w:rPr>
                <w:lang w:val="en-GB" w:eastAsia="en-AU" w:bidi="ar-SA"/>
              </w:rPr>
            </w:pPr>
            <w:r w:rsidRPr="00F0687E">
              <w:rPr>
                <w:lang w:val="en-GB" w:eastAsia="en-AU" w:bidi="ar-SA"/>
              </w:rPr>
              <w:t>1.05</w:t>
            </w:r>
          </w:p>
        </w:tc>
        <w:tc>
          <w:tcPr>
            <w:tcW w:w="1418" w:type="dxa"/>
            <w:vAlign w:val="center"/>
          </w:tcPr>
          <w:p w14:paraId="2C6FD2E6" w14:textId="77777777" w:rsidR="0051780C" w:rsidRPr="00F0687E" w:rsidRDefault="0051780C" w:rsidP="00A573C4">
            <w:pPr>
              <w:pStyle w:val="FSTableText"/>
              <w:rPr>
                <w:lang w:val="en-GB" w:eastAsia="en-AU" w:bidi="ar-SA"/>
              </w:rPr>
            </w:pPr>
            <w:r w:rsidRPr="00F0687E">
              <w:rPr>
                <w:lang w:val="en-GB" w:eastAsia="en-AU" w:bidi="ar-SA"/>
              </w:rPr>
              <w:t>0.013</w:t>
            </w:r>
          </w:p>
        </w:tc>
        <w:tc>
          <w:tcPr>
            <w:tcW w:w="709" w:type="dxa"/>
            <w:vAlign w:val="center"/>
          </w:tcPr>
          <w:p w14:paraId="58FA9BD8" w14:textId="77777777" w:rsidR="0051780C" w:rsidRPr="00F0687E" w:rsidRDefault="0051780C" w:rsidP="00A573C4">
            <w:pPr>
              <w:pStyle w:val="FSTableText"/>
              <w:rPr>
                <w:lang w:val="en-GB" w:eastAsia="en-AU" w:bidi="ar-SA"/>
              </w:rPr>
            </w:pPr>
            <w:r w:rsidRPr="00F0687E">
              <w:rPr>
                <w:lang w:val="en-GB" w:eastAsia="en-AU" w:bidi="ar-SA"/>
              </w:rPr>
              <w:t>1.84</w:t>
            </w:r>
          </w:p>
        </w:tc>
        <w:tc>
          <w:tcPr>
            <w:tcW w:w="1381" w:type="dxa"/>
            <w:vAlign w:val="center"/>
          </w:tcPr>
          <w:p w14:paraId="21398297" w14:textId="77777777" w:rsidR="0051780C" w:rsidRPr="00F0687E" w:rsidRDefault="0051780C" w:rsidP="00A573C4">
            <w:pPr>
              <w:pStyle w:val="FSTableText"/>
              <w:rPr>
                <w:lang w:val="en-GB" w:eastAsia="en-AU" w:bidi="ar-SA"/>
              </w:rPr>
            </w:pPr>
            <w:r w:rsidRPr="00F0687E">
              <w:rPr>
                <w:lang w:val="en-GB" w:eastAsia="en-AU" w:bidi="ar-SA"/>
              </w:rPr>
              <w:t>0.025</w:t>
            </w:r>
          </w:p>
        </w:tc>
      </w:tr>
      <w:tr w:rsidR="0051780C" w:rsidRPr="00552334" w14:paraId="42F0DFED" w14:textId="77777777" w:rsidTr="00A573C4">
        <w:trPr>
          <w:trHeight w:val="510"/>
        </w:trPr>
        <w:tc>
          <w:tcPr>
            <w:tcW w:w="2093" w:type="dxa"/>
            <w:vAlign w:val="center"/>
          </w:tcPr>
          <w:p w14:paraId="40820DCA" w14:textId="77777777" w:rsidR="0051780C" w:rsidRPr="00F0687E" w:rsidRDefault="0051780C" w:rsidP="00A573C4">
            <w:pPr>
              <w:pStyle w:val="FSTableText"/>
              <w:rPr>
                <w:lang w:val="en-GB" w:eastAsia="en-AU" w:bidi="ar-SA"/>
              </w:rPr>
            </w:pPr>
            <w:r w:rsidRPr="00F0687E">
              <w:rPr>
                <w:lang w:val="en-GB" w:eastAsia="en-AU" w:bidi="ar-SA"/>
              </w:rPr>
              <w:t>44+ years</w:t>
            </w:r>
          </w:p>
          <w:p w14:paraId="5857DB5E" w14:textId="77777777" w:rsidR="0051780C" w:rsidRPr="00F0687E" w:rsidRDefault="0051780C" w:rsidP="00A573C4">
            <w:pPr>
              <w:pStyle w:val="FSTableText"/>
              <w:rPr>
                <w:lang w:val="en-GB" w:eastAsia="en-AU" w:bidi="ar-SA"/>
              </w:rPr>
            </w:pPr>
            <w:r w:rsidRPr="00F0687E">
              <w:rPr>
                <w:lang w:val="en-GB" w:eastAsia="en-AU" w:bidi="ar-SA"/>
              </w:rPr>
              <w:t>(2199)</w:t>
            </w:r>
          </w:p>
        </w:tc>
        <w:tc>
          <w:tcPr>
            <w:tcW w:w="1417" w:type="dxa"/>
            <w:vAlign w:val="center"/>
          </w:tcPr>
          <w:p w14:paraId="3D878EF3" w14:textId="77777777" w:rsidR="0051780C" w:rsidRPr="00F0687E" w:rsidRDefault="0051780C" w:rsidP="00A573C4">
            <w:pPr>
              <w:pStyle w:val="FSTableText"/>
              <w:rPr>
                <w:lang w:val="en-GB" w:eastAsia="en-AU" w:bidi="ar-SA"/>
              </w:rPr>
            </w:pPr>
            <w:r w:rsidRPr="00F0687E">
              <w:rPr>
                <w:lang w:val="en-GB" w:eastAsia="en-AU" w:bidi="ar-SA"/>
              </w:rPr>
              <w:t>167</w:t>
            </w:r>
          </w:p>
        </w:tc>
        <w:tc>
          <w:tcPr>
            <w:tcW w:w="1560" w:type="dxa"/>
            <w:vAlign w:val="center"/>
          </w:tcPr>
          <w:p w14:paraId="1483C60A" w14:textId="77777777" w:rsidR="0051780C" w:rsidRPr="00F0687E" w:rsidRDefault="0051780C" w:rsidP="00A573C4">
            <w:pPr>
              <w:pStyle w:val="FSTableText"/>
              <w:rPr>
                <w:lang w:val="en-GB" w:eastAsia="en-AU" w:bidi="ar-SA"/>
              </w:rPr>
            </w:pPr>
            <w:r w:rsidRPr="00F0687E">
              <w:rPr>
                <w:lang w:val="en-GB" w:eastAsia="en-AU" w:bidi="ar-SA"/>
              </w:rPr>
              <w:t>7.6%</w:t>
            </w:r>
          </w:p>
        </w:tc>
        <w:tc>
          <w:tcPr>
            <w:tcW w:w="708" w:type="dxa"/>
            <w:vAlign w:val="center"/>
          </w:tcPr>
          <w:p w14:paraId="1E51253B" w14:textId="77777777" w:rsidR="0051780C" w:rsidRPr="00F0687E" w:rsidRDefault="0051780C" w:rsidP="00A573C4">
            <w:pPr>
              <w:pStyle w:val="FSTableText"/>
              <w:rPr>
                <w:lang w:val="en-GB" w:eastAsia="en-AU" w:bidi="ar-SA"/>
              </w:rPr>
            </w:pPr>
            <w:r w:rsidRPr="00F0687E">
              <w:rPr>
                <w:lang w:val="en-GB" w:eastAsia="en-AU" w:bidi="ar-SA"/>
              </w:rPr>
              <w:t>1.28</w:t>
            </w:r>
          </w:p>
        </w:tc>
        <w:tc>
          <w:tcPr>
            <w:tcW w:w="1418" w:type="dxa"/>
            <w:vAlign w:val="center"/>
          </w:tcPr>
          <w:p w14:paraId="2A0E19BC" w14:textId="77777777" w:rsidR="0051780C" w:rsidRPr="00F0687E" w:rsidRDefault="0051780C" w:rsidP="00A573C4">
            <w:pPr>
              <w:pStyle w:val="FSTableText"/>
              <w:rPr>
                <w:lang w:val="en-GB" w:eastAsia="en-AU" w:bidi="ar-SA"/>
              </w:rPr>
            </w:pPr>
            <w:r w:rsidRPr="00F0687E">
              <w:rPr>
                <w:lang w:val="en-GB" w:eastAsia="en-AU" w:bidi="ar-SA"/>
              </w:rPr>
              <w:t>0.016</w:t>
            </w:r>
          </w:p>
        </w:tc>
        <w:tc>
          <w:tcPr>
            <w:tcW w:w="709" w:type="dxa"/>
            <w:vAlign w:val="center"/>
          </w:tcPr>
          <w:p w14:paraId="79FDF7D7" w14:textId="77777777" w:rsidR="0051780C" w:rsidRPr="00F0687E" w:rsidRDefault="0051780C" w:rsidP="00A573C4">
            <w:pPr>
              <w:pStyle w:val="FSTableText"/>
              <w:rPr>
                <w:lang w:val="en-GB" w:eastAsia="en-AU" w:bidi="ar-SA"/>
              </w:rPr>
            </w:pPr>
            <w:r w:rsidRPr="00F0687E">
              <w:rPr>
                <w:lang w:val="en-GB" w:eastAsia="en-AU" w:bidi="ar-SA"/>
              </w:rPr>
              <w:t>2.60</w:t>
            </w:r>
          </w:p>
        </w:tc>
        <w:tc>
          <w:tcPr>
            <w:tcW w:w="1381" w:type="dxa"/>
            <w:vAlign w:val="center"/>
          </w:tcPr>
          <w:p w14:paraId="1F19FC4D" w14:textId="77777777" w:rsidR="0051780C" w:rsidRPr="00F0687E" w:rsidRDefault="0051780C" w:rsidP="00A573C4">
            <w:pPr>
              <w:pStyle w:val="FSTableText"/>
              <w:rPr>
                <w:lang w:val="en-GB" w:eastAsia="en-AU" w:bidi="ar-SA"/>
              </w:rPr>
            </w:pPr>
            <w:r w:rsidRPr="00F0687E">
              <w:rPr>
                <w:lang w:val="en-GB" w:eastAsia="en-AU" w:bidi="ar-SA"/>
              </w:rPr>
              <w:t>0.034</w:t>
            </w:r>
          </w:p>
        </w:tc>
      </w:tr>
      <w:tr w:rsidR="0051780C" w:rsidRPr="00552334" w14:paraId="34119874" w14:textId="77777777" w:rsidTr="00A573C4">
        <w:trPr>
          <w:trHeight w:val="510"/>
        </w:trPr>
        <w:tc>
          <w:tcPr>
            <w:tcW w:w="2093" w:type="dxa"/>
            <w:vAlign w:val="center"/>
          </w:tcPr>
          <w:p w14:paraId="2DCB6BA7" w14:textId="77777777" w:rsidR="0051780C" w:rsidRPr="00F0687E" w:rsidRDefault="0051780C" w:rsidP="00A573C4">
            <w:pPr>
              <w:pStyle w:val="FSTableText"/>
              <w:rPr>
                <w:lang w:val="en-GB" w:eastAsia="en-AU" w:bidi="ar-SA"/>
              </w:rPr>
            </w:pPr>
            <w:r w:rsidRPr="00F0687E">
              <w:rPr>
                <w:lang w:val="en-GB" w:eastAsia="en-AU" w:bidi="ar-SA"/>
              </w:rPr>
              <w:t>15+ years (all ages)</w:t>
            </w:r>
          </w:p>
          <w:p w14:paraId="6FEDB65D" w14:textId="77777777" w:rsidR="0051780C" w:rsidRPr="00F0687E" w:rsidRDefault="0051780C" w:rsidP="00A573C4">
            <w:pPr>
              <w:pStyle w:val="FSTableText"/>
              <w:rPr>
                <w:lang w:val="en-GB" w:eastAsia="en-AU" w:bidi="ar-SA"/>
              </w:rPr>
            </w:pPr>
            <w:r w:rsidRPr="00F0687E">
              <w:rPr>
                <w:lang w:val="en-GB" w:eastAsia="en-AU" w:bidi="ar-SA"/>
              </w:rPr>
              <w:t>(4721)</w:t>
            </w:r>
          </w:p>
        </w:tc>
        <w:tc>
          <w:tcPr>
            <w:tcW w:w="1417" w:type="dxa"/>
            <w:vAlign w:val="center"/>
          </w:tcPr>
          <w:p w14:paraId="0D79FFAE" w14:textId="77777777" w:rsidR="0051780C" w:rsidRPr="00F0687E" w:rsidRDefault="0051780C" w:rsidP="00A573C4">
            <w:pPr>
              <w:pStyle w:val="FSTableText"/>
              <w:rPr>
                <w:lang w:val="en-GB" w:eastAsia="en-AU" w:bidi="ar-SA"/>
              </w:rPr>
            </w:pPr>
            <w:r w:rsidRPr="00F0687E">
              <w:rPr>
                <w:lang w:val="en-GB" w:eastAsia="en-AU" w:bidi="ar-SA"/>
              </w:rPr>
              <w:t>223</w:t>
            </w:r>
          </w:p>
        </w:tc>
        <w:tc>
          <w:tcPr>
            <w:tcW w:w="1560" w:type="dxa"/>
            <w:vAlign w:val="center"/>
          </w:tcPr>
          <w:p w14:paraId="1C526D49" w14:textId="77777777" w:rsidR="0051780C" w:rsidRPr="00F0687E" w:rsidRDefault="0051780C" w:rsidP="00A573C4">
            <w:pPr>
              <w:pStyle w:val="FSTableText"/>
              <w:rPr>
                <w:lang w:val="en-GB" w:eastAsia="en-AU" w:bidi="ar-SA"/>
              </w:rPr>
            </w:pPr>
            <w:r w:rsidRPr="00F0687E">
              <w:rPr>
                <w:lang w:val="en-GB" w:eastAsia="en-AU" w:bidi="ar-SA"/>
              </w:rPr>
              <w:t>4.7%</w:t>
            </w:r>
          </w:p>
        </w:tc>
        <w:tc>
          <w:tcPr>
            <w:tcW w:w="708" w:type="dxa"/>
            <w:vAlign w:val="center"/>
          </w:tcPr>
          <w:p w14:paraId="21375067" w14:textId="77777777" w:rsidR="0051780C" w:rsidRPr="00F0687E" w:rsidRDefault="0051780C" w:rsidP="00A573C4">
            <w:pPr>
              <w:pStyle w:val="FSTableText"/>
              <w:rPr>
                <w:lang w:val="en-GB" w:eastAsia="en-AU" w:bidi="ar-SA"/>
              </w:rPr>
            </w:pPr>
            <w:r w:rsidRPr="00F0687E">
              <w:rPr>
                <w:lang w:val="en-GB" w:eastAsia="en-AU" w:bidi="ar-SA"/>
              </w:rPr>
              <w:t>1.24</w:t>
            </w:r>
          </w:p>
        </w:tc>
        <w:tc>
          <w:tcPr>
            <w:tcW w:w="1418" w:type="dxa"/>
            <w:vAlign w:val="center"/>
          </w:tcPr>
          <w:p w14:paraId="621452D0" w14:textId="77777777" w:rsidR="0051780C" w:rsidRPr="00F0687E" w:rsidRDefault="0051780C" w:rsidP="00A573C4">
            <w:pPr>
              <w:pStyle w:val="FSTableText"/>
              <w:rPr>
                <w:lang w:val="en-GB" w:eastAsia="en-AU" w:bidi="ar-SA"/>
              </w:rPr>
            </w:pPr>
            <w:r w:rsidRPr="00F0687E">
              <w:rPr>
                <w:lang w:val="en-GB" w:eastAsia="en-AU" w:bidi="ar-SA"/>
              </w:rPr>
              <w:t>0.016</w:t>
            </w:r>
          </w:p>
        </w:tc>
        <w:tc>
          <w:tcPr>
            <w:tcW w:w="709" w:type="dxa"/>
            <w:vAlign w:val="center"/>
          </w:tcPr>
          <w:p w14:paraId="40B9D5C5" w14:textId="77777777" w:rsidR="0051780C" w:rsidRPr="00F0687E" w:rsidRDefault="0051780C" w:rsidP="00A573C4">
            <w:pPr>
              <w:pStyle w:val="FSTableText"/>
              <w:rPr>
                <w:lang w:val="en-GB" w:eastAsia="en-AU" w:bidi="ar-SA"/>
              </w:rPr>
            </w:pPr>
            <w:r w:rsidRPr="00F0687E">
              <w:rPr>
                <w:lang w:val="en-GB" w:eastAsia="en-AU" w:bidi="ar-SA"/>
              </w:rPr>
              <w:t>2.46</w:t>
            </w:r>
          </w:p>
        </w:tc>
        <w:tc>
          <w:tcPr>
            <w:tcW w:w="1381" w:type="dxa"/>
            <w:vAlign w:val="center"/>
          </w:tcPr>
          <w:p w14:paraId="344AC919" w14:textId="77777777" w:rsidR="0051780C" w:rsidRPr="00F0687E" w:rsidRDefault="0051780C" w:rsidP="00A573C4">
            <w:pPr>
              <w:pStyle w:val="FSTableText"/>
              <w:rPr>
                <w:lang w:val="en-GB" w:eastAsia="en-AU" w:bidi="ar-SA"/>
              </w:rPr>
            </w:pPr>
            <w:r w:rsidRPr="00F0687E">
              <w:rPr>
                <w:lang w:val="en-GB" w:eastAsia="en-AU" w:bidi="ar-SA"/>
              </w:rPr>
              <w:t>0.033</w:t>
            </w:r>
          </w:p>
        </w:tc>
      </w:tr>
    </w:tbl>
    <w:p w14:paraId="621FA33F" w14:textId="77777777" w:rsidR="00E55334" w:rsidRPr="006032CB" w:rsidRDefault="00E55334" w:rsidP="00E55334">
      <w:pPr>
        <w:rPr>
          <w:sz w:val="20"/>
          <w:szCs w:val="20"/>
          <w:vertAlign w:val="superscript"/>
          <w:lang w:val="en-GB" w:eastAsia="en-AU" w:bidi="ar-SA"/>
        </w:rPr>
      </w:pPr>
      <w:r w:rsidRPr="00E55334">
        <w:rPr>
          <w:vertAlign w:val="superscript"/>
          <w:lang w:val="en-GB" w:eastAsia="en-AU" w:bidi="ar-SA"/>
        </w:rPr>
        <w:t>#</w:t>
      </w:r>
      <w:r>
        <w:rPr>
          <w:vertAlign w:val="superscript"/>
          <w:lang w:val="en-GB" w:eastAsia="en-AU" w:bidi="ar-SA"/>
        </w:rPr>
        <w:t xml:space="preserve"> </w:t>
      </w:r>
      <w:r w:rsidRPr="006032CB">
        <w:rPr>
          <w:sz w:val="20"/>
          <w:szCs w:val="20"/>
          <w:lang w:val="en-GB" w:eastAsia="en-AU"/>
        </w:rPr>
        <w:t xml:space="preserve">Expressed as </w:t>
      </w:r>
      <w:r>
        <w:rPr>
          <w:sz w:val="20"/>
          <w:szCs w:val="20"/>
          <w:lang w:val="en-GB" w:eastAsia="en-AU"/>
        </w:rPr>
        <w:t>plan</w:t>
      </w:r>
      <w:r w:rsidRPr="006032CB">
        <w:rPr>
          <w:sz w:val="20"/>
          <w:szCs w:val="20"/>
          <w:lang w:val="en-GB" w:eastAsia="en-AU"/>
        </w:rPr>
        <w:t>t sterol equivalents</w:t>
      </w:r>
    </w:p>
    <w:p w14:paraId="221261D9" w14:textId="77777777" w:rsidR="0051780C" w:rsidRPr="00F0687E" w:rsidRDefault="0051780C" w:rsidP="0051780C">
      <w:pPr>
        <w:rPr>
          <w:sz w:val="20"/>
          <w:szCs w:val="20"/>
          <w:lang w:val="en-GB" w:eastAsia="en-AU" w:bidi="ar-SA"/>
        </w:rPr>
      </w:pPr>
      <w:r w:rsidRPr="00F0687E">
        <w:rPr>
          <w:sz w:val="20"/>
          <w:szCs w:val="20"/>
          <w:lang w:val="en-GB" w:eastAsia="en-AU" w:bidi="ar-SA"/>
        </w:rPr>
        <w:t xml:space="preserve">* Individual respondents’ exposures are divided by their own body weight before deriving mean and P90 dietary exposures </w:t>
      </w:r>
      <w:r w:rsidRPr="00F0687E">
        <w:rPr>
          <w:sz w:val="20"/>
          <w:szCs w:val="20"/>
          <w:lang w:val="en-GB" w:eastAsia="en-AU"/>
        </w:rPr>
        <w:t>and are expressed as plant sterol equivalents</w:t>
      </w:r>
      <w:r w:rsidRPr="00F0687E">
        <w:rPr>
          <w:sz w:val="20"/>
          <w:szCs w:val="20"/>
          <w:lang w:val="en-GB" w:eastAsia="en-AU" w:bidi="ar-SA"/>
        </w:rPr>
        <w:t xml:space="preserve">. </w:t>
      </w:r>
    </w:p>
    <w:p w14:paraId="36409527" w14:textId="57890A51" w:rsidR="0051780C" w:rsidRPr="00F0687E" w:rsidRDefault="00E55334" w:rsidP="0051780C">
      <w:pPr>
        <w:rPr>
          <w:sz w:val="20"/>
          <w:szCs w:val="20"/>
          <w:lang w:val="en-GB" w:eastAsia="en-AU" w:bidi="ar-SA"/>
        </w:rPr>
      </w:pPr>
      <w:r>
        <w:rPr>
          <w:sz w:val="20"/>
          <w:szCs w:val="20"/>
          <w:lang w:val="en-GB" w:eastAsia="en-AU" w:bidi="ar-SA"/>
        </w:rPr>
        <w:t>^</w:t>
      </w:r>
      <w:r w:rsidR="0051780C" w:rsidRPr="00F0687E">
        <w:rPr>
          <w:sz w:val="20"/>
          <w:szCs w:val="20"/>
          <w:lang w:val="en-GB" w:eastAsia="en-AU" w:bidi="ar-SA"/>
        </w:rPr>
        <w:t xml:space="preserve"> na = not available (not reported as &lt;10 consumers)</w:t>
      </w:r>
    </w:p>
    <w:p w14:paraId="1EE36452" w14:textId="6AF9575A" w:rsidR="0051780C" w:rsidRPr="00552334" w:rsidRDefault="0051780C" w:rsidP="0051780C">
      <w:pPr>
        <w:rPr>
          <w:lang w:val="en-GB" w:eastAsia="en-AU" w:bidi="ar-SA"/>
        </w:rPr>
      </w:pPr>
    </w:p>
    <w:p w14:paraId="148C6905" w14:textId="77777777" w:rsidR="0051780C" w:rsidRDefault="0051780C" w:rsidP="0051780C">
      <w:pPr>
        <w:pStyle w:val="FSTableTitle"/>
        <w:rPr>
          <w:lang w:val="en-GB" w:eastAsia="en-AU"/>
        </w:rPr>
      </w:pPr>
      <w:r>
        <w:rPr>
          <w:lang w:val="en-GB" w:eastAsia="en-AU"/>
        </w:rPr>
        <w:br w:type="page"/>
      </w:r>
    </w:p>
    <w:p w14:paraId="69A5A660" w14:textId="3F2A86BC" w:rsidR="0051780C" w:rsidRPr="00552334" w:rsidRDefault="0051780C" w:rsidP="002166FB">
      <w:pPr>
        <w:pStyle w:val="FSTableTitle"/>
        <w:spacing w:after="120"/>
        <w:rPr>
          <w:lang w:val="en-GB" w:eastAsia="en-AU"/>
        </w:rPr>
      </w:pPr>
      <w:r w:rsidRPr="00552334">
        <w:rPr>
          <w:lang w:val="en-GB" w:eastAsia="en-AU"/>
        </w:rPr>
        <w:lastRenderedPageBreak/>
        <w:t xml:space="preserve">Table </w:t>
      </w:r>
      <w:r w:rsidRPr="00552334">
        <w:rPr>
          <w:lang w:val="en-GB" w:eastAsia="en-AU" w:bidi="ar-SA"/>
        </w:rPr>
        <w:t>A5</w:t>
      </w:r>
      <w:r>
        <w:rPr>
          <w:lang w:val="en-GB" w:eastAsia="en-AU" w:bidi="ar-SA"/>
        </w:rPr>
        <w:t xml:space="preserve">: </w:t>
      </w:r>
      <w:r w:rsidRPr="00552334">
        <w:rPr>
          <w:lang w:val="en-GB" w:eastAsia="en-AU"/>
        </w:rPr>
        <w:t>Amounts of foods with added plant sterols consumed</w:t>
      </w:r>
      <w:r w:rsidRPr="00E10D8F">
        <w:rPr>
          <w:lang w:val="en-GB" w:eastAsia="en-AU"/>
        </w:rPr>
        <w:t xml:space="preserve"> – baseline foods only</w:t>
      </w:r>
      <w:r w:rsidRPr="00552334">
        <w:rPr>
          <w:lang w:val="en-GB" w:eastAsia="en-AU"/>
        </w:rPr>
        <w:t>*</w:t>
      </w:r>
    </w:p>
    <w:tbl>
      <w:tblPr>
        <w:tblStyle w:val="TableGrid"/>
        <w:tblW w:w="0" w:type="auto"/>
        <w:tblLook w:val="04A0" w:firstRow="1" w:lastRow="0" w:firstColumn="1" w:lastColumn="0" w:noHBand="0" w:noVBand="1"/>
        <w:tblCaption w:val="Amounts of foods with added plant sterols consumed – baseline foods only"/>
        <w:tblDescription w:val="Table show amounts of foods with added plant sterols consumed"/>
      </w:tblPr>
      <w:tblGrid>
        <w:gridCol w:w="1242"/>
        <w:gridCol w:w="1418"/>
        <w:gridCol w:w="1701"/>
        <w:gridCol w:w="1701"/>
        <w:gridCol w:w="1701"/>
        <w:gridCol w:w="1523"/>
      </w:tblGrid>
      <w:tr w:rsidR="0051780C" w:rsidRPr="00552334" w14:paraId="4EEFF49B" w14:textId="77777777" w:rsidTr="004C6004">
        <w:trPr>
          <w:trHeight w:val="567"/>
          <w:tblHeader/>
        </w:trPr>
        <w:tc>
          <w:tcPr>
            <w:tcW w:w="1242" w:type="dxa"/>
            <w:vMerge w:val="restart"/>
            <w:vAlign w:val="center"/>
          </w:tcPr>
          <w:p w14:paraId="1CF34235" w14:textId="77777777" w:rsidR="0051780C" w:rsidRPr="00F0687E" w:rsidRDefault="0051780C" w:rsidP="00A573C4">
            <w:pPr>
              <w:pStyle w:val="FSTableText"/>
              <w:rPr>
                <w:b/>
                <w:lang w:val="en-GB" w:eastAsia="en-AU" w:bidi="ar-SA"/>
              </w:rPr>
            </w:pPr>
            <w:r w:rsidRPr="00F0687E">
              <w:rPr>
                <w:b/>
                <w:lang w:val="en-GB" w:eastAsia="en-AU" w:bidi="ar-SA"/>
              </w:rPr>
              <w:t>Survey</w:t>
            </w:r>
          </w:p>
        </w:tc>
        <w:tc>
          <w:tcPr>
            <w:tcW w:w="1418" w:type="dxa"/>
            <w:vMerge w:val="restart"/>
            <w:vAlign w:val="center"/>
          </w:tcPr>
          <w:p w14:paraId="3B3FB330" w14:textId="77777777" w:rsidR="0051780C" w:rsidRPr="00F0687E" w:rsidRDefault="0051780C" w:rsidP="00A573C4">
            <w:pPr>
              <w:pStyle w:val="FSTableText"/>
              <w:jc w:val="center"/>
              <w:rPr>
                <w:b/>
                <w:lang w:val="en-GB" w:eastAsia="en-AU" w:bidi="ar-SA"/>
              </w:rPr>
            </w:pPr>
            <w:r w:rsidRPr="00F0687E">
              <w:rPr>
                <w:b/>
                <w:lang w:val="en-GB" w:eastAsia="en-AU" w:bidi="ar-SA"/>
              </w:rPr>
              <w:t>Age groups</w:t>
            </w:r>
          </w:p>
        </w:tc>
        <w:tc>
          <w:tcPr>
            <w:tcW w:w="6626" w:type="dxa"/>
            <w:gridSpan w:val="4"/>
            <w:vAlign w:val="center"/>
          </w:tcPr>
          <w:p w14:paraId="15C9FA4D" w14:textId="77777777" w:rsidR="0051780C" w:rsidRPr="00F0687E" w:rsidRDefault="0051780C" w:rsidP="00A573C4">
            <w:pPr>
              <w:pStyle w:val="FSTableText"/>
              <w:jc w:val="center"/>
              <w:rPr>
                <w:b/>
                <w:lang w:val="en-GB" w:eastAsia="en-AU" w:bidi="ar-SA"/>
              </w:rPr>
            </w:pPr>
            <w:r w:rsidRPr="00F0687E">
              <w:rPr>
                <w:b/>
                <w:lang w:val="en-GB" w:eastAsia="en-AU" w:bidi="ar-SA"/>
              </w:rPr>
              <w:t xml:space="preserve">Mean consumption for consumers of foods </w:t>
            </w:r>
          </w:p>
          <w:p w14:paraId="009428DA" w14:textId="77777777" w:rsidR="0051780C" w:rsidRPr="00F0687E" w:rsidRDefault="0051780C" w:rsidP="00A573C4">
            <w:pPr>
              <w:pStyle w:val="FSTableText"/>
              <w:jc w:val="center"/>
              <w:rPr>
                <w:b/>
                <w:lang w:val="en-GB" w:eastAsia="en-AU" w:bidi="ar-SA"/>
              </w:rPr>
            </w:pPr>
            <w:r w:rsidRPr="00F0687E">
              <w:rPr>
                <w:b/>
                <w:lang w:val="en-GB" w:eastAsia="en-AU" w:bidi="ar-SA"/>
              </w:rPr>
              <w:t>with added plant sterols (g/day)</w:t>
            </w:r>
          </w:p>
        </w:tc>
      </w:tr>
      <w:tr w:rsidR="0051780C" w:rsidRPr="00552334" w14:paraId="3D8F469A" w14:textId="77777777" w:rsidTr="004C6004">
        <w:trPr>
          <w:trHeight w:val="567"/>
          <w:tblHeader/>
        </w:trPr>
        <w:tc>
          <w:tcPr>
            <w:tcW w:w="1242" w:type="dxa"/>
            <w:vMerge/>
            <w:vAlign w:val="center"/>
          </w:tcPr>
          <w:p w14:paraId="6687CE1A" w14:textId="77777777" w:rsidR="0051780C" w:rsidRPr="00F0687E" w:rsidRDefault="0051780C" w:rsidP="00A573C4">
            <w:pPr>
              <w:pStyle w:val="FSTableText"/>
              <w:rPr>
                <w:b/>
                <w:lang w:val="en-GB" w:eastAsia="en-AU" w:bidi="ar-SA"/>
              </w:rPr>
            </w:pPr>
          </w:p>
        </w:tc>
        <w:tc>
          <w:tcPr>
            <w:tcW w:w="1418" w:type="dxa"/>
            <w:vMerge/>
            <w:vAlign w:val="center"/>
          </w:tcPr>
          <w:p w14:paraId="02FAA10D" w14:textId="77777777" w:rsidR="0051780C" w:rsidRPr="00F0687E" w:rsidRDefault="0051780C" w:rsidP="00A573C4">
            <w:pPr>
              <w:pStyle w:val="FSTableText"/>
              <w:rPr>
                <w:b/>
                <w:lang w:val="en-GB" w:eastAsia="en-AU" w:bidi="ar-SA"/>
              </w:rPr>
            </w:pPr>
          </w:p>
        </w:tc>
        <w:tc>
          <w:tcPr>
            <w:tcW w:w="1701" w:type="dxa"/>
            <w:vAlign w:val="center"/>
          </w:tcPr>
          <w:p w14:paraId="64012EE3" w14:textId="77777777" w:rsidR="0051780C" w:rsidRPr="00F0687E" w:rsidRDefault="0051780C" w:rsidP="00A573C4">
            <w:pPr>
              <w:pStyle w:val="FSTableText"/>
              <w:rPr>
                <w:b/>
                <w:lang w:val="en-GB" w:eastAsia="en-AU" w:bidi="ar-SA"/>
              </w:rPr>
            </w:pPr>
            <w:r w:rsidRPr="00F0687E">
              <w:rPr>
                <w:b/>
                <w:lang w:val="en-GB" w:eastAsia="en-AU" w:bidi="ar-SA"/>
              </w:rPr>
              <w:t>Edible oil spread</w:t>
            </w:r>
          </w:p>
          <w:p w14:paraId="1C709907" w14:textId="77777777" w:rsidR="0051780C" w:rsidRPr="00F0687E" w:rsidRDefault="0051780C" w:rsidP="00A573C4">
            <w:pPr>
              <w:pStyle w:val="FSTableText"/>
              <w:rPr>
                <w:b/>
                <w:lang w:val="en-GB" w:eastAsia="en-AU" w:bidi="ar-SA"/>
              </w:rPr>
            </w:pPr>
            <w:r w:rsidRPr="00F0687E">
              <w:rPr>
                <w:b/>
                <w:lang w:val="en-GB" w:eastAsia="en-AU" w:bidi="ar-SA"/>
              </w:rPr>
              <w:t>standard fat**</w:t>
            </w:r>
          </w:p>
        </w:tc>
        <w:tc>
          <w:tcPr>
            <w:tcW w:w="1701" w:type="dxa"/>
            <w:vAlign w:val="center"/>
          </w:tcPr>
          <w:p w14:paraId="26AB74DD" w14:textId="77777777" w:rsidR="0051780C" w:rsidRPr="00F0687E" w:rsidRDefault="0051780C" w:rsidP="00A573C4">
            <w:pPr>
              <w:pStyle w:val="FSTableText"/>
              <w:jc w:val="center"/>
              <w:rPr>
                <w:b/>
                <w:lang w:val="en-GB" w:eastAsia="en-AU" w:bidi="ar-SA"/>
              </w:rPr>
            </w:pPr>
            <w:r w:rsidRPr="00F0687E">
              <w:rPr>
                <w:b/>
                <w:lang w:val="en-GB" w:eastAsia="en-AU" w:bidi="ar-SA"/>
              </w:rPr>
              <w:t>Edible oil spread</w:t>
            </w:r>
          </w:p>
          <w:p w14:paraId="1AAF1B87" w14:textId="77777777" w:rsidR="0051780C" w:rsidRPr="00F0687E" w:rsidRDefault="0051780C" w:rsidP="00A573C4">
            <w:pPr>
              <w:pStyle w:val="FSTableText"/>
              <w:jc w:val="center"/>
              <w:rPr>
                <w:b/>
                <w:lang w:val="en-GB" w:eastAsia="en-AU" w:bidi="ar-SA"/>
              </w:rPr>
            </w:pPr>
            <w:r w:rsidRPr="00F0687E">
              <w:rPr>
                <w:b/>
                <w:lang w:val="en-GB" w:eastAsia="en-AU" w:bidi="ar-SA"/>
              </w:rPr>
              <w:t>reduced fat**</w:t>
            </w:r>
          </w:p>
        </w:tc>
        <w:tc>
          <w:tcPr>
            <w:tcW w:w="1701" w:type="dxa"/>
            <w:vAlign w:val="center"/>
          </w:tcPr>
          <w:p w14:paraId="4ABFCA55" w14:textId="77777777" w:rsidR="0051780C" w:rsidRPr="00F0687E" w:rsidRDefault="0051780C" w:rsidP="00A573C4">
            <w:pPr>
              <w:pStyle w:val="FSTableText"/>
              <w:jc w:val="center"/>
              <w:rPr>
                <w:b/>
                <w:lang w:val="en-GB" w:eastAsia="en-AU" w:bidi="ar-SA"/>
              </w:rPr>
            </w:pPr>
            <w:r w:rsidRPr="00F0687E">
              <w:rPr>
                <w:b/>
                <w:lang w:val="en-GB" w:eastAsia="en-AU" w:bidi="ar-SA"/>
              </w:rPr>
              <w:t>Unflavoured milk</w:t>
            </w:r>
          </w:p>
        </w:tc>
        <w:tc>
          <w:tcPr>
            <w:tcW w:w="1523" w:type="dxa"/>
            <w:vAlign w:val="center"/>
          </w:tcPr>
          <w:p w14:paraId="3AC1F2E0" w14:textId="77777777" w:rsidR="0051780C" w:rsidRPr="00F0687E" w:rsidRDefault="0051780C" w:rsidP="00A573C4">
            <w:pPr>
              <w:pStyle w:val="FSTableText"/>
              <w:jc w:val="center"/>
              <w:rPr>
                <w:b/>
                <w:lang w:val="en-GB" w:eastAsia="en-AU" w:bidi="ar-SA"/>
              </w:rPr>
            </w:pPr>
            <w:r w:rsidRPr="00F0687E">
              <w:rPr>
                <w:b/>
                <w:lang w:val="en-GB" w:eastAsia="en-AU" w:bidi="ar-SA"/>
              </w:rPr>
              <w:t>Processed cheese</w:t>
            </w:r>
          </w:p>
        </w:tc>
      </w:tr>
      <w:tr w:rsidR="0051780C" w:rsidRPr="00552334" w14:paraId="3E7C7E91" w14:textId="77777777" w:rsidTr="004C6004">
        <w:trPr>
          <w:trHeight w:val="567"/>
        </w:trPr>
        <w:tc>
          <w:tcPr>
            <w:tcW w:w="1242" w:type="dxa"/>
            <w:vMerge w:val="restart"/>
            <w:vAlign w:val="center"/>
          </w:tcPr>
          <w:p w14:paraId="3C9469DF" w14:textId="77777777" w:rsidR="0051780C" w:rsidRPr="00F0687E" w:rsidRDefault="0051780C" w:rsidP="00A573C4">
            <w:pPr>
              <w:pStyle w:val="FSTableText"/>
              <w:rPr>
                <w:lang w:val="en-GB" w:eastAsia="en-AU" w:bidi="ar-SA"/>
              </w:rPr>
            </w:pPr>
            <w:r w:rsidRPr="00F0687E">
              <w:rPr>
                <w:lang w:val="en-GB" w:eastAsia="en-AU" w:bidi="ar-SA"/>
              </w:rPr>
              <w:t>NNPAS</w:t>
            </w:r>
          </w:p>
          <w:p w14:paraId="24AE6761" w14:textId="77777777" w:rsidR="0051780C" w:rsidRPr="00F0687E" w:rsidRDefault="0051780C" w:rsidP="00A573C4">
            <w:pPr>
              <w:pStyle w:val="FSTableText"/>
              <w:rPr>
                <w:lang w:val="en-GB" w:eastAsia="en-AU" w:bidi="ar-SA"/>
              </w:rPr>
            </w:pPr>
            <w:r w:rsidRPr="00F0687E">
              <w:rPr>
                <w:lang w:val="en-GB" w:eastAsia="en-AU" w:bidi="ar-SA"/>
              </w:rPr>
              <w:t>2011-12</w:t>
            </w:r>
          </w:p>
          <w:p w14:paraId="51C0C622" w14:textId="77777777" w:rsidR="0051780C" w:rsidRPr="00F0687E" w:rsidRDefault="0051780C" w:rsidP="00A573C4">
            <w:pPr>
              <w:pStyle w:val="FSTableText"/>
              <w:rPr>
                <w:lang w:val="en-GB" w:eastAsia="en-AU" w:bidi="ar-SA"/>
              </w:rPr>
            </w:pPr>
            <w:r w:rsidRPr="00F0687E">
              <w:rPr>
                <w:lang w:val="en-GB" w:eastAsia="en-AU" w:bidi="ar-SA"/>
              </w:rPr>
              <w:t>(Day 1&amp;2)</w:t>
            </w:r>
          </w:p>
        </w:tc>
        <w:tc>
          <w:tcPr>
            <w:tcW w:w="1418" w:type="dxa"/>
            <w:vAlign w:val="center"/>
          </w:tcPr>
          <w:p w14:paraId="6B7DF4A5" w14:textId="30C58176" w:rsidR="0051780C" w:rsidRPr="00F0687E" w:rsidRDefault="0051780C" w:rsidP="00A573C4">
            <w:pPr>
              <w:pStyle w:val="FSTableText"/>
              <w:rPr>
                <w:lang w:val="en-GB" w:eastAsia="en-AU" w:bidi="ar-SA"/>
              </w:rPr>
            </w:pPr>
            <w:r w:rsidRPr="00F0687E">
              <w:rPr>
                <w:lang w:val="en-GB" w:eastAsia="en-AU" w:bidi="ar-SA"/>
              </w:rPr>
              <w:t>2</w:t>
            </w:r>
            <w:r w:rsidR="00724D8F">
              <w:rPr>
                <w:lang w:val="en-GB" w:eastAsia="en-AU" w:bidi="ar-SA"/>
              </w:rPr>
              <w:t>–</w:t>
            </w:r>
            <w:r w:rsidRPr="00F0687E">
              <w:rPr>
                <w:lang w:val="en-GB" w:eastAsia="en-AU" w:bidi="ar-SA"/>
              </w:rPr>
              <w:t>4 years</w:t>
            </w:r>
          </w:p>
          <w:p w14:paraId="5A1F462A" w14:textId="77777777" w:rsidR="0051780C" w:rsidRPr="00F0687E" w:rsidRDefault="0051780C" w:rsidP="00A573C4">
            <w:pPr>
              <w:pStyle w:val="FSTableText"/>
              <w:rPr>
                <w:lang w:val="en-GB" w:eastAsia="en-AU" w:bidi="ar-SA"/>
              </w:rPr>
            </w:pPr>
            <w:r w:rsidRPr="00F0687E">
              <w:rPr>
                <w:lang w:val="en-GB" w:eastAsia="en-AU" w:bidi="ar-SA"/>
              </w:rPr>
              <w:t>(n=7)</w:t>
            </w:r>
          </w:p>
        </w:tc>
        <w:tc>
          <w:tcPr>
            <w:tcW w:w="1701" w:type="dxa"/>
            <w:vAlign w:val="center"/>
          </w:tcPr>
          <w:p w14:paraId="7CD3AC92" w14:textId="77777777" w:rsidR="0051780C" w:rsidRPr="00F0687E" w:rsidRDefault="0051780C" w:rsidP="00A573C4">
            <w:pPr>
              <w:pStyle w:val="FSTableText"/>
              <w:rPr>
                <w:lang w:val="en-GB" w:eastAsia="en-AU" w:bidi="ar-SA"/>
              </w:rPr>
            </w:pPr>
            <w:r w:rsidRPr="00F0687E">
              <w:rPr>
                <w:lang w:val="en-GB" w:eastAsia="en-AU" w:bidi="ar-SA"/>
              </w:rPr>
              <w:t xml:space="preserve">  3.5</w:t>
            </w:r>
          </w:p>
        </w:tc>
        <w:tc>
          <w:tcPr>
            <w:tcW w:w="1701" w:type="dxa"/>
            <w:vAlign w:val="center"/>
          </w:tcPr>
          <w:p w14:paraId="5F904BC8" w14:textId="77777777" w:rsidR="0051780C" w:rsidRPr="00F0687E" w:rsidRDefault="0051780C" w:rsidP="00A573C4">
            <w:pPr>
              <w:pStyle w:val="FSTableText"/>
              <w:rPr>
                <w:lang w:val="en-GB" w:eastAsia="en-AU" w:bidi="ar-SA"/>
              </w:rPr>
            </w:pPr>
            <w:r w:rsidRPr="00F0687E">
              <w:rPr>
                <w:lang w:val="en-GB" w:eastAsia="en-AU" w:bidi="ar-SA"/>
              </w:rPr>
              <w:t xml:space="preserve">  2.4</w:t>
            </w:r>
          </w:p>
        </w:tc>
        <w:tc>
          <w:tcPr>
            <w:tcW w:w="1701" w:type="dxa"/>
            <w:vAlign w:val="center"/>
          </w:tcPr>
          <w:p w14:paraId="3DB82354"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5C302807"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03E2C464" w14:textId="77777777" w:rsidTr="004C6004">
        <w:trPr>
          <w:trHeight w:val="567"/>
        </w:trPr>
        <w:tc>
          <w:tcPr>
            <w:tcW w:w="1242" w:type="dxa"/>
            <w:vMerge/>
            <w:vAlign w:val="center"/>
          </w:tcPr>
          <w:p w14:paraId="49105B57" w14:textId="77777777" w:rsidR="0051780C" w:rsidRPr="00F0687E" w:rsidRDefault="0051780C" w:rsidP="00A573C4">
            <w:pPr>
              <w:pStyle w:val="FSTableText"/>
              <w:rPr>
                <w:lang w:val="en-GB" w:eastAsia="en-AU" w:bidi="ar-SA"/>
              </w:rPr>
            </w:pPr>
          </w:p>
        </w:tc>
        <w:tc>
          <w:tcPr>
            <w:tcW w:w="1418" w:type="dxa"/>
            <w:vAlign w:val="center"/>
          </w:tcPr>
          <w:p w14:paraId="138CEA35" w14:textId="5603A9CB" w:rsidR="0051780C" w:rsidRPr="00F0687E" w:rsidRDefault="0051780C" w:rsidP="00A573C4">
            <w:pPr>
              <w:pStyle w:val="FSTableText"/>
              <w:rPr>
                <w:lang w:val="en-GB" w:eastAsia="en-AU" w:bidi="ar-SA"/>
              </w:rPr>
            </w:pPr>
            <w:r w:rsidRPr="00F0687E">
              <w:rPr>
                <w:lang w:val="en-GB" w:eastAsia="en-AU" w:bidi="ar-SA"/>
              </w:rPr>
              <w:t>5</w:t>
            </w:r>
            <w:r w:rsidR="00724D8F">
              <w:rPr>
                <w:lang w:val="en-GB" w:eastAsia="en-AU" w:bidi="ar-SA"/>
              </w:rPr>
              <w:t>–</w:t>
            </w:r>
            <w:r w:rsidRPr="00F0687E">
              <w:rPr>
                <w:lang w:val="en-GB" w:eastAsia="en-AU" w:bidi="ar-SA"/>
              </w:rPr>
              <w:t>12 years</w:t>
            </w:r>
          </w:p>
          <w:p w14:paraId="20019F50" w14:textId="77777777" w:rsidR="0051780C" w:rsidRPr="00F0687E" w:rsidRDefault="0051780C" w:rsidP="00A573C4">
            <w:pPr>
              <w:pStyle w:val="FSTableText"/>
              <w:rPr>
                <w:lang w:val="en-GB" w:eastAsia="en-AU" w:bidi="ar-SA"/>
              </w:rPr>
            </w:pPr>
            <w:r w:rsidRPr="00F0687E">
              <w:rPr>
                <w:lang w:val="en-GB" w:eastAsia="en-AU" w:bidi="ar-SA"/>
              </w:rPr>
              <w:t>(n=22)</w:t>
            </w:r>
          </w:p>
        </w:tc>
        <w:tc>
          <w:tcPr>
            <w:tcW w:w="1701" w:type="dxa"/>
            <w:vAlign w:val="center"/>
          </w:tcPr>
          <w:p w14:paraId="79499268" w14:textId="77777777" w:rsidR="0051780C" w:rsidRPr="00F0687E" w:rsidRDefault="0051780C" w:rsidP="00A573C4">
            <w:pPr>
              <w:pStyle w:val="FSTableText"/>
              <w:rPr>
                <w:lang w:val="en-GB" w:eastAsia="en-AU" w:bidi="ar-SA"/>
              </w:rPr>
            </w:pPr>
            <w:r w:rsidRPr="00F0687E">
              <w:rPr>
                <w:lang w:val="en-GB" w:eastAsia="en-AU" w:bidi="ar-SA"/>
              </w:rPr>
              <w:t xml:space="preserve">  3.4</w:t>
            </w:r>
          </w:p>
        </w:tc>
        <w:tc>
          <w:tcPr>
            <w:tcW w:w="1701" w:type="dxa"/>
            <w:vAlign w:val="center"/>
          </w:tcPr>
          <w:p w14:paraId="16829186" w14:textId="77777777" w:rsidR="0051780C" w:rsidRPr="00F0687E" w:rsidRDefault="0051780C" w:rsidP="00A573C4">
            <w:pPr>
              <w:pStyle w:val="FSTableText"/>
              <w:rPr>
                <w:lang w:val="en-GB" w:eastAsia="en-AU" w:bidi="ar-SA"/>
              </w:rPr>
            </w:pPr>
            <w:r w:rsidRPr="00F0687E">
              <w:rPr>
                <w:lang w:val="en-GB" w:eastAsia="en-AU" w:bidi="ar-SA"/>
              </w:rPr>
              <w:t xml:space="preserve">  4.9</w:t>
            </w:r>
          </w:p>
        </w:tc>
        <w:tc>
          <w:tcPr>
            <w:tcW w:w="1701" w:type="dxa"/>
            <w:vAlign w:val="center"/>
          </w:tcPr>
          <w:p w14:paraId="2A15912E"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186F60D7" w14:textId="77777777" w:rsidR="0051780C" w:rsidRPr="00F0687E" w:rsidRDefault="0051780C" w:rsidP="00A573C4">
            <w:pPr>
              <w:pStyle w:val="FSTableText"/>
              <w:rPr>
                <w:lang w:val="en-GB" w:eastAsia="en-AU" w:bidi="ar-SA"/>
              </w:rPr>
            </w:pPr>
            <w:r w:rsidRPr="00F0687E">
              <w:rPr>
                <w:lang w:val="en-GB" w:eastAsia="en-AU" w:bidi="ar-SA"/>
              </w:rPr>
              <w:t xml:space="preserve">Not consumed </w:t>
            </w:r>
          </w:p>
        </w:tc>
      </w:tr>
      <w:tr w:rsidR="0051780C" w:rsidRPr="00552334" w14:paraId="6A69588A" w14:textId="77777777" w:rsidTr="004C6004">
        <w:trPr>
          <w:trHeight w:val="567"/>
        </w:trPr>
        <w:tc>
          <w:tcPr>
            <w:tcW w:w="1242" w:type="dxa"/>
            <w:vMerge/>
            <w:vAlign w:val="center"/>
          </w:tcPr>
          <w:p w14:paraId="2D94F138" w14:textId="77777777" w:rsidR="0051780C" w:rsidRPr="00F0687E" w:rsidRDefault="0051780C" w:rsidP="00A573C4">
            <w:pPr>
              <w:pStyle w:val="FSTableText"/>
              <w:rPr>
                <w:lang w:val="en-GB" w:eastAsia="en-AU" w:bidi="ar-SA"/>
              </w:rPr>
            </w:pPr>
          </w:p>
        </w:tc>
        <w:tc>
          <w:tcPr>
            <w:tcW w:w="1418" w:type="dxa"/>
            <w:vAlign w:val="center"/>
          </w:tcPr>
          <w:p w14:paraId="45F6B05C" w14:textId="6CC658DC" w:rsidR="0051780C" w:rsidRPr="00F0687E" w:rsidRDefault="0051780C" w:rsidP="00A573C4">
            <w:pPr>
              <w:pStyle w:val="FSTableText"/>
              <w:rPr>
                <w:lang w:val="en-GB" w:eastAsia="en-AU" w:bidi="ar-SA"/>
              </w:rPr>
            </w:pPr>
            <w:r w:rsidRPr="00F0687E">
              <w:rPr>
                <w:lang w:val="en-GB" w:eastAsia="en-AU" w:bidi="ar-SA"/>
              </w:rPr>
              <w:t>13</w:t>
            </w:r>
            <w:r w:rsidR="00724D8F">
              <w:rPr>
                <w:lang w:val="en-GB" w:eastAsia="en-AU" w:bidi="ar-SA"/>
              </w:rPr>
              <w:t>–</w:t>
            </w:r>
            <w:r w:rsidRPr="00F0687E">
              <w:rPr>
                <w:lang w:val="en-GB" w:eastAsia="en-AU" w:bidi="ar-SA"/>
              </w:rPr>
              <w:t>17 years</w:t>
            </w:r>
          </w:p>
          <w:p w14:paraId="23D88A0C" w14:textId="77777777" w:rsidR="0051780C" w:rsidRPr="00F0687E" w:rsidRDefault="0051780C" w:rsidP="00A573C4">
            <w:pPr>
              <w:pStyle w:val="FSTableText"/>
              <w:rPr>
                <w:lang w:val="en-GB" w:eastAsia="en-AU" w:bidi="ar-SA"/>
              </w:rPr>
            </w:pPr>
            <w:r w:rsidRPr="00F0687E">
              <w:rPr>
                <w:lang w:val="en-GB" w:eastAsia="en-AU" w:bidi="ar-SA"/>
              </w:rPr>
              <w:t>(n=15)</w:t>
            </w:r>
          </w:p>
        </w:tc>
        <w:tc>
          <w:tcPr>
            <w:tcW w:w="1701" w:type="dxa"/>
            <w:vAlign w:val="center"/>
          </w:tcPr>
          <w:p w14:paraId="4534B2EB" w14:textId="77777777" w:rsidR="0051780C" w:rsidRPr="00F0687E" w:rsidRDefault="0051780C" w:rsidP="00A573C4">
            <w:pPr>
              <w:pStyle w:val="FSTableText"/>
              <w:rPr>
                <w:lang w:val="en-GB" w:eastAsia="en-AU" w:bidi="ar-SA"/>
              </w:rPr>
            </w:pPr>
            <w:r w:rsidRPr="00F0687E">
              <w:rPr>
                <w:lang w:val="en-GB" w:eastAsia="en-AU" w:bidi="ar-SA"/>
              </w:rPr>
              <w:t xml:space="preserve">  4.8</w:t>
            </w:r>
          </w:p>
        </w:tc>
        <w:tc>
          <w:tcPr>
            <w:tcW w:w="1701" w:type="dxa"/>
            <w:vAlign w:val="center"/>
          </w:tcPr>
          <w:p w14:paraId="11C0C2EE" w14:textId="77777777" w:rsidR="0051780C" w:rsidRPr="00F0687E" w:rsidRDefault="0051780C" w:rsidP="00A573C4">
            <w:pPr>
              <w:pStyle w:val="FSTableText"/>
              <w:rPr>
                <w:lang w:val="en-GB" w:eastAsia="en-AU" w:bidi="ar-SA"/>
              </w:rPr>
            </w:pPr>
            <w:r w:rsidRPr="00F0687E">
              <w:rPr>
                <w:lang w:val="en-GB" w:eastAsia="en-AU" w:bidi="ar-SA"/>
              </w:rPr>
              <w:t>11.8</w:t>
            </w:r>
          </w:p>
        </w:tc>
        <w:tc>
          <w:tcPr>
            <w:tcW w:w="1701" w:type="dxa"/>
            <w:vAlign w:val="center"/>
          </w:tcPr>
          <w:p w14:paraId="2B02EAF8"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29FD0303"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5F38FBD5" w14:textId="77777777" w:rsidTr="004C6004">
        <w:trPr>
          <w:trHeight w:val="567"/>
        </w:trPr>
        <w:tc>
          <w:tcPr>
            <w:tcW w:w="1242" w:type="dxa"/>
            <w:vMerge/>
            <w:vAlign w:val="center"/>
          </w:tcPr>
          <w:p w14:paraId="667686CA" w14:textId="77777777" w:rsidR="0051780C" w:rsidRPr="00F0687E" w:rsidRDefault="0051780C" w:rsidP="00A573C4">
            <w:pPr>
              <w:pStyle w:val="FSTableText"/>
              <w:rPr>
                <w:lang w:val="en-GB" w:eastAsia="en-AU" w:bidi="ar-SA"/>
              </w:rPr>
            </w:pPr>
          </w:p>
        </w:tc>
        <w:tc>
          <w:tcPr>
            <w:tcW w:w="1418" w:type="dxa"/>
            <w:vAlign w:val="center"/>
          </w:tcPr>
          <w:p w14:paraId="6C1DD95C" w14:textId="2F2C010B" w:rsidR="0051780C" w:rsidRPr="00F0687E" w:rsidRDefault="0051780C" w:rsidP="00A573C4">
            <w:pPr>
              <w:pStyle w:val="FSTableText"/>
              <w:rPr>
                <w:lang w:val="en-GB" w:eastAsia="en-AU" w:bidi="ar-SA"/>
              </w:rPr>
            </w:pPr>
            <w:r w:rsidRPr="00F0687E">
              <w:rPr>
                <w:lang w:val="en-GB" w:eastAsia="en-AU" w:bidi="ar-SA"/>
              </w:rPr>
              <w:t>18</w:t>
            </w:r>
            <w:r w:rsidR="004C6004">
              <w:rPr>
                <w:lang w:val="en-GB" w:eastAsia="en-AU" w:bidi="ar-SA"/>
              </w:rPr>
              <w:t>–</w:t>
            </w:r>
            <w:r w:rsidRPr="00F0687E">
              <w:rPr>
                <w:lang w:val="en-GB" w:eastAsia="en-AU" w:bidi="ar-SA"/>
              </w:rPr>
              <w:t>44 years</w:t>
            </w:r>
          </w:p>
          <w:p w14:paraId="5028806D" w14:textId="77777777" w:rsidR="0051780C" w:rsidRPr="00F0687E" w:rsidRDefault="0051780C" w:rsidP="00A573C4">
            <w:pPr>
              <w:pStyle w:val="FSTableText"/>
              <w:rPr>
                <w:lang w:val="en-GB" w:eastAsia="en-AU" w:bidi="ar-SA"/>
              </w:rPr>
            </w:pPr>
            <w:r w:rsidRPr="00F0687E">
              <w:rPr>
                <w:lang w:val="en-GB" w:eastAsia="en-AU" w:bidi="ar-SA"/>
              </w:rPr>
              <w:t>(n=81)</w:t>
            </w:r>
          </w:p>
        </w:tc>
        <w:tc>
          <w:tcPr>
            <w:tcW w:w="1701" w:type="dxa"/>
            <w:vAlign w:val="center"/>
          </w:tcPr>
          <w:p w14:paraId="3CD3C5EA" w14:textId="77777777" w:rsidR="0051780C" w:rsidRPr="00F0687E" w:rsidRDefault="0051780C" w:rsidP="00A573C4">
            <w:pPr>
              <w:pStyle w:val="FSTableText"/>
              <w:rPr>
                <w:lang w:val="en-GB" w:eastAsia="en-AU" w:bidi="ar-SA"/>
              </w:rPr>
            </w:pPr>
            <w:r w:rsidRPr="00F0687E">
              <w:rPr>
                <w:lang w:val="en-GB" w:eastAsia="en-AU" w:bidi="ar-SA"/>
              </w:rPr>
              <w:t xml:space="preserve">  4.6</w:t>
            </w:r>
          </w:p>
        </w:tc>
        <w:tc>
          <w:tcPr>
            <w:tcW w:w="1701" w:type="dxa"/>
            <w:vAlign w:val="center"/>
          </w:tcPr>
          <w:p w14:paraId="235C8690" w14:textId="77777777" w:rsidR="0051780C" w:rsidRPr="00F0687E" w:rsidRDefault="0051780C" w:rsidP="00A573C4">
            <w:pPr>
              <w:pStyle w:val="FSTableText"/>
              <w:rPr>
                <w:lang w:val="en-GB" w:eastAsia="en-AU" w:bidi="ar-SA"/>
              </w:rPr>
            </w:pPr>
            <w:r w:rsidRPr="00F0687E">
              <w:rPr>
                <w:lang w:val="en-GB" w:eastAsia="en-AU" w:bidi="ar-SA"/>
              </w:rPr>
              <w:t xml:space="preserve">  4.0</w:t>
            </w:r>
          </w:p>
        </w:tc>
        <w:tc>
          <w:tcPr>
            <w:tcW w:w="1701" w:type="dxa"/>
            <w:vAlign w:val="center"/>
          </w:tcPr>
          <w:p w14:paraId="2FA31303" w14:textId="77777777" w:rsidR="0051780C" w:rsidRPr="00F0687E" w:rsidRDefault="0051780C" w:rsidP="00A573C4">
            <w:pPr>
              <w:pStyle w:val="FSTableText"/>
              <w:rPr>
                <w:lang w:val="en-GB" w:eastAsia="en-AU" w:bidi="ar-SA"/>
              </w:rPr>
            </w:pPr>
            <w:r w:rsidRPr="00F0687E">
              <w:rPr>
                <w:lang w:val="en-GB" w:eastAsia="en-AU" w:bidi="ar-SA"/>
              </w:rPr>
              <w:t>83.3</w:t>
            </w:r>
          </w:p>
        </w:tc>
        <w:tc>
          <w:tcPr>
            <w:tcW w:w="1523" w:type="dxa"/>
            <w:vAlign w:val="center"/>
          </w:tcPr>
          <w:p w14:paraId="1E1D259F"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23F27116" w14:textId="77777777" w:rsidTr="004C6004">
        <w:trPr>
          <w:trHeight w:val="567"/>
        </w:trPr>
        <w:tc>
          <w:tcPr>
            <w:tcW w:w="1242" w:type="dxa"/>
            <w:vMerge/>
            <w:vAlign w:val="center"/>
          </w:tcPr>
          <w:p w14:paraId="282207A0" w14:textId="77777777" w:rsidR="0051780C" w:rsidRPr="00F0687E" w:rsidRDefault="0051780C" w:rsidP="00A573C4">
            <w:pPr>
              <w:pStyle w:val="FSTableText"/>
              <w:rPr>
                <w:lang w:val="en-GB" w:eastAsia="en-AU" w:bidi="ar-SA"/>
              </w:rPr>
            </w:pPr>
          </w:p>
        </w:tc>
        <w:tc>
          <w:tcPr>
            <w:tcW w:w="1418" w:type="dxa"/>
            <w:vAlign w:val="center"/>
          </w:tcPr>
          <w:p w14:paraId="3C8B5885" w14:textId="77777777" w:rsidR="0051780C" w:rsidRPr="00F0687E" w:rsidRDefault="0051780C" w:rsidP="00A573C4">
            <w:pPr>
              <w:pStyle w:val="FSTableText"/>
              <w:rPr>
                <w:lang w:val="en-GB" w:eastAsia="en-AU" w:bidi="ar-SA"/>
              </w:rPr>
            </w:pPr>
            <w:r w:rsidRPr="00F0687E">
              <w:rPr>
                <w:lang w:val="en-GB" w:eastAsia="en-AU" w:bidi="ar-SA"/>
              </w:rPr>
              <w:t>45+ years</w:t>
            </w:r>
          </w:p>
          <w:p w14:paraId="48CFC686" w14:textId="77777777" w:rsidR="0051780C" w:rsidRPr="00F0687E" w:rsidRDefault="0051780C" w:rsidP="00A573C4">
            <w:pPr>
              <w:pStyle w:val="FSTableText"/>
              <w:rPr>
                <w:lang w:val="en-GB" w:eastAsia="en-AU" w:bidi="ar-SA"/>
              </w:rPr>
            </w:pPr>
            <w:r w:rsidRPr="00F0687E">
              <w:rPr>
                <w:lang w:val="en-GB" w:eastAsia="en-AU" w:bidi="ar-SA"/>
              </w:rPr>
              <w:t>(n=298)</w:t>
            </w:r>
          </w:p>
        </w:tc>
        <w:tc>
          <w:tcPr>
            <w:tcW w:w="1701" w:type="dxa"/>
            <w:vAlign w:val="center"/>
          </w:tcPr>
          <w:p w14:paraId="65FFE535" w14:textId="77777777" w:rsidR="0051780C" w:rsidRPr="00F0687E" w:rsidRDefault="0051780C" w:rsidP="00A573C4">
            <w:pPr>
              <w:pStyle w:val="FSTableText"/>
              <w:rPr>
                <w:lang w:val="en-GB" w:eastAsia="en-AU" w:bidi="ar-SA"/>
              </w:rPr>
            </w:pPr>
            <w:r w:rsidRPr="00F0687E">
              <w:rPr>
                <w:lang w:val="en-GB" w:eastAsia="en-AU" w:bidi="ar-SA"/>
              </w:rPr>
              <w:t xml:space="preserve">  7.3</w:t>
            </w:r>
          </w:p>
        </w:tc>
        <w:tc>
          <w:tcPr>
            <w:tcW w:w="1701" w:type="dxa"/>
            <w:vAlign w:val="center"/>
          </w:tcPr>
          <w:p w14:paraId="25091CFD" w14:textId="77777777" w:rsidR="0051780C" w:rsidRPr="00F0687E" w:rsidRDefault="0051780C" w:rsidP="00A573C4">
            <w:pPr>
              <w:pStyle w:val="FSTableText"/>
              <w:rPr>
                <w:lang w:val="en-GB" w:eastAsia="en-AU" w:bidi="ar-SA"/>
              </w:rPr>
            </w:pPr>
            <w:r w:rsidRPr="00F0687E">
              <w:rPr>
                <w:lang w:val="en-GB" w:eastAsia="en-AU" w:bidi="ar-SA"/>
              </w:rPr>
              <w:t xml:space="preserve">  6.2</w:t>
            </w:r>
          </w:p>
        </w:tc>
        <w:tc>
          <w:tcPr>
            <w:tcW w:w="1701" w:type="dxa"/>
            <w:vAlign w:val="center"/>
          </w:tcPr>
          <w:p w14:paraId="69A9DD9D" w14:textId="77777777" w:rsidR="0051780C" w:rsidRPr="00F0687E" w:rsidRDefault="0051780C" w:rsidP="00A573C4">
            <w:pPr>
              <w:pStyle w:val="FSTableText"/>
              <w:rPr>
                <w:lang w:val="en-GB" w:eastAsia="en-AU" w:bidi="ar-SA"/>
              </w:rPr>
            </w:pPr>
            <w:r w:rsidRPr="00F0687E">
              <w:rPr>
                <w:lang w:val="en-GB" w:eastAsia="en-AU" w:bidi="ar-SA"/>
              </w:rPr>
              <w:t>93.7</w:t>
            </w:r>
          </w:p>
        </w:tc>
        <w:tc>
          <w:tcPr>
            <w:tcW w:w="1523" w:type="dxa"/>
            <w:vAlign w:val="center"/>
          </w:tcPr>
          <w:p w14:paraId="34A7C9B8" w14:textId="77777777" w:rsidR="0051780C" w:rsidRPr="00F0687E" w:rsidRDefault="0051780C" w:rsidP="00A573C4">
            <w:pPr>
              <w:pStyle w:val="FSTableText"/>
              <w:rPr>
                <w:lang w:val="en-GB" w:eastAsia="en-AU" w:bidi="ar-SA"/>
              </w:rPr>
            </w:pPr>
            <w:r w:rsidRPr="00F0687E">
              <w:rPr>
                <w:lang w:val="en-GB" w:eastAsia="en-AU" w:bidi="ar-SA"/>
              </w:rPr>
              <w:t>29.0</w:t>
            </w:r>
          </w:p>
        </w:tc>
      </w:tr>
      <w:tr w:rsidR="0051780C" w:rsidRPr="00552334" w14:paraId="0D5FBD1B" w14:textId="77777777" w:rsidTr="004C6004">
        <w:trPr>
          <w:trHeight w:val="567"/>
        </w:trPr>
        <w:tc>
          <w:tcPr>
            <w:tcW w:w="1242" w:type="dxa"/>
            <w:vMerge/>
            <w:vAlign w:val="center"/>
          </w:tcPr>
          <w:p w14:paraId="26E91948" w14:textId="77777777" w:rsidR="0051780C" w:rsidRPr="00F0687E" w:rsidRDefault="0051780C" w:rsidP="00A573C4">
            <w:pPr>
              <w:pStyle w:val="FSTableText"/>
              <w:rPr>
                <w:lang w:val="en-GB" w:eastAsia="en-AU" w:bidi="ar-SA"/>
              </w:rPr>
            </w:pPr>
          </w:p>
        </w:tc>
        <w:tc>
          <w:tcPr>
            <w:tcW w:w="1418" w:type="dxa"/>
            <w:vAlign w:val="center"/>
          </w:tcPr>
          <w:p w14:paraId="577BB326" w14:textId="77777777" w:rsidR="0051780C" w:rsidRPr="00F0687E" w:rsidRDefault="0051780C" w:rsidP="00A573C4">
            <w:pPr>
              <w:pStyle w:val="FSTableText"/>
              <w:rPr>
                <w:lang w:val="en-GB" w:eastAsia="en-AU" w:bidi="ar-SA"/>
              </w:rPr>
            </w:pPr>
            <w:r w:rsidRPr="00F0687E">
              <w:rPr>
                <w:lang w:val="en-GB" w:eastAsia="en-AU" w:bidi="ar-SA"/>
              </w:rPr>
              <w:t xml:space="preserve">All ages </w:t>
            </w:r>
          </w:p>
          <w:p w14:paraId="3F94AA65" w14:textId="77777777" w:rsidR="0051780C" w:rsidRPr="00F0687E" w:rsidRDefault="0051780C" w:rsidP="00A573C4">
            <w:pPr>
              <w:pStyle w:val="FSTableText"/>
              <w:rPr>
                <w:lang w:val="en-GB" w:eastAsia="en-AU" w:bidi="ar-SA"/>
              </w:rPr>
            </w:pPr>
            <w:r w:rsidRPr="00F0687E">
              <w:rPr>
                <w:lang w:val="en-GB" w:eastAsia="en-AU" w:bidi="ar-SA"/>
              </w:rPr>
              <w:t>(n=422)</w:t>
            </w:r>
          </w:p>
        </w:tc>
        <w:tc>
          <w:tcPr>
            <w:tcW w:w="1701" w:type="dxa"/>
            <w:vAlign w:val="center"/>
          </w:tcPr>
          <w:p w14:paraId="4559CC9E" w14:textId="77777777" w:rsidR="0051780C" w:rsidRPr="00F0687E" w:rsidRDefault="0051780C" w:rsidP="00A573C4">
            <w:pPr>
              <w:pStyle w:val="FSTableText"/>
              <w:rPr>
                <w:lang w:val="en-GB" w:eastAsia="en-AU" w:bidi="ar-SA"/>
              </w:rPr>
            </w:pPr>
            <w:r w:rsidRPr="00F0687E">
              <w:rPr>
                <w:lang w:val="en-GB" w:eastAsia="en-AU" w:bidi="ar-SA"/>
              </w:rPr>
              <w:t xml:space="preserve">  6.6</w:t>
            </w:r>
          </w:p>
        </w:tc>
        <w:tc>
          <w:tcPr>
            <w:tcW w:w="1701" w:type="dxa"/>
            <w:vAlign w:val="center"/>
          </w:tcPr>
          <w:p w14:paraId="210BA0C4" w14:textId="77777777" w:rsidR="0051780C" w:rsidRPr="00F0687E" w:rsidRDefault="0051780C" w:rsidP="00A573C4">
            <w:pPr>
              <w:pStyle w:val="FSTableText"/>
              <w:rPr>
                <w:lang w:val="en-GB" w:eastAsia="en-AU" w:bidi="ar-SA"/>
              </w:rPr>
            </w:pPr>
            <w:r w:rsidRPr="00F0687E">
              <w:rPr>
                <w:lang w:val="en-GB" w:eastAsia="en-AU" w:bidi="ar-SA"/>
              </w:rPr>
              <w:t xml:space="preserve">  6.0</w:t>
            </w:r>
          </w:p>
        </w:tc>
        <w:tc>
          <w:tcPr>
            <w:tcW w:w="1701" w:type="dxa"/>
            <w:vAlign w:val="center"/>
          </w:tcPr>
          <w:p w14:paraId="56235119" w14:textId="77777777" w:rsidR="0051780C" w:rsidRPr="00F0687E" w:rsidRDefault="0051780C" w:rsidP="00A573C4">
            <w:pPr>
              <w:pStyle w:val="FSTableText"/>
              <w:rPr>
                <w:lang w:val="en-GB" w:eastAsia="en-AU" w:bidi="ar-SA"/>
              </w:rPr>
            </w:pPr>
            <w:r w:rsidRPr="00F0687E">
              <w:rPr>
                <w:lang w:val="en-GB" w:eastAsia="en-AU" w:bidi="ar-SA"/>
              </w:rPr>
              <w:t>90.8</w:t>
            </w:r>
          </w:p>
        </w:tc>
        <w:tc>
          <w:tcPr>
            <w:tcW w:w="1523" w:type="dxa"/>
            <w:vAlign w:val="center"/>
          </w:tcPr>
          <w:p w14:paraId="23EB1A61" w14:textId="77777777" w:rsidR="0051780C" w:rsidRPr="00F0687E" w:rsidRDefault="0051780C" w:rsidP="00A573C4">
            <w:pPr>
              <w:pStyle w:val="FSTableText"/>
              <w:rPr>
                <w:lang w:val="en-GB" w:eastAsia="en-AU" w:bidi="ar-SA"/>
              </w:rPr>
            </w:pPr>
            <w:r w:rsidRPr="00F0687E">
              <w:rPr>
                <w:lang w:val="en-GB" w:eastAsia="en-AU" w:bidi="ar-SA"/>
              </w:rPr>
              <w:t>29.0</w:t>
            </w:r>
          </w:p>
        </w:tc>
      </w:tr>
      <w:tr w:rsidR="0051780C" w:rsidRPr="00552334" w14:paraId="3489A763" w14:textId="77777777" w:rsidTr="004C6004">
        <w:trPr>
          <w:trHeight w:val="567"/>
        </w:trPr>
        <w:tc>
          <w:tcPr>
            <w:tcW w:w="1242" w:type="dxa"/>
            <w:vMerge w:val="restart"/>
            <w:vAlign w:val="center"/>
          </w:tcPr>
          <w:p w14:paraId="2CE65B53" w14:textId="77777777" w:rsidR="0051780C" w:rsidRPr="00F0687E" w:rsidRDefault="0051780C" w:rsidP="00A573C4">
            <w:pPr>
              <w:pStyle w:val="FSTableText"/>
              <w:rPr>
                <w:lang w:val="en-GB" w:eastAsia="en-AU" w:bidi="ar-SA"/>
              </w:rPr>
            </w:pPr>
            <w:r w:rsidRPr="00F0687E">
              <w:rPr>
                <w:lang w:val="en-GB" w:eastAsia="en-AU" w:bidi="ar-SA"/>
              </w:rPr>
              <w:t>NZ ANS 2008</w:t>
            </w:r>
          </w:p>
          <w:p w14:paraId="1C4A4091" w14:textId="77777777" w:rsidR="0051780C" w:rsidRPr="00F0687E" w:rsidRDefault="0051780C" w:rsidP="00A573C4">
            <w:pPr>
              <w:pStyle w:val="FSTableText"/>
              <w:rPr>
                <w:lang w:val="en-GB" w:eastAsia="en-AU" w:bidi="ar-SA"/>
              </w:rPr>
            </w:pPr>
            <w:r w:rsidRPr="00F0687E">
              <w:rPr>
                <w:lang w:val="en-GB" w:eastAsia="en-AU" w:bidi="ar-SA"/>
              </w:rPr>
              <w:t>(Day 1)</w:t>
            </w:r>
          </w:p>
        </w:tc>
        <w:tc>
          <w:tcPr>
            <w:tcW w:w="1418" w:type="dxa"/>
            <w:vAlign w:val="center"/>
          </w:tcPr>
          <w:p w14:paraId="679BC41A" w14:textId="291E98DA" w:rsidR="0051780C" w:rsidRPr="00F0687E" w:rsidRDefault="0051780C" w:rsidP="00A573C4">
            <w:pPr>
              <w:pStyle w:val="FSTableText"/>
              <w:rPr>
                <w:lang w:val="en-GB" w:eastAsia="en-AU" w:bidi="ar-SA"/>
              </w:rPr>
            </w:pPr>
            <w:r w:rsidRPr="00F0687E">
              <w:rPr>
                <w:lang w:val="en-GB" w:eastAsia="en-AU" w:bidi="ar-SA"/>
              </w:rPr>
              <w:t>15</w:t>
            </w:r>
            <w:r w:rsidR="004C6004">
              <w:rPr>
                <w:lang w:val="en-GB" w:eastAsia="en-AU" w:bidi="ar-SA"/>
              </w:rPr>
              <w:t>–</w:t>
            </w:r>
            <w:r w:rsidRPr="00F0687E">
              <w:rPr>
                <w:lang w:val="en-GB" w:eastAsia="en-AU" w:bidi="ar-SA"/>
              </w:rPr>
              <w:t>17 years</w:t>
            </w:r>
          </w:p>
          <w:p w14:paraId="5DBF19F2" w14:textId="77777777" w:rsidR="0051780C" w:rsidRPr="00F0687E" w:rsidRDefault="0051780C" w:rsidP="00A573C4">
            <w:pPr>
              <w:pStyle w:val="FSTableText"/>
              <w:rPr>
                <w:lang w:val="en-GB" w:eastAsia="en-AU" w:bidi="ar-SA"/>
              </w:rPr>
            </w:pPr>
            <w:r w:rsidRPr="00F0687E">
              <w:rPr>
                <w:lang w:val="en-GB" w:eastAsia="en-AU" w:bidi="ar-SA"/>
              </w:rPr>
              <w:t>(n=4)</w:t>
            </w:r>
          </w:p>
        </w:tc>
        <w:tc>
          <w:tcPr>
            <w:tcW w:w="1701" w:type="dxa"/>
            <w:vAlign w:val="center"/>
          </w:tcPr>
          <w:p w14:paraId="07534677" w14:textId="77777777" w:rsidR="0051780C" w:rsidRPr="00F0687E" w:rsidRDefault="0051780C" w:rsidP="00A573C4">
            <w:pPr>
              <w:pStyle w:val="FSTableText"/>
              <w:rPr>
                <w:lang w:val="en-GB" w:eastAsia="en-AU" w:bidi="ar-SA"/>
              </w:rPr>
            </w:pPr>
            <w:r w:rsidRPr="00F0687E">
              <w:rPr>
                <w:lang w:val="en-GB" w:eastAsia="en-AU" w:bidi="ar-SA"/>
              </w:rPr>
              <w:t xml:space="preserve">  7.3</w:t>
            </w:r>
          </w:p>
        </w:tc>
        <w:tc>
          <w:tcPr>
            <w:tcW w:w="1701" w:type="dxa"/>
            <w:vAlign w:val="center"/>
          </w:tcPr>
          <w:p w14:paraId="20C2E5C6" w14:textId="77777777" w:rsidR="0051780C" w:rsidRPr="00F0687E" w:rsidRDefault="0051780C" w:rsidP="00A573C4">
            <w:pPr>
              <w:pStyle w:val="FSTableText"/>
              <w:rPr>
                <w:lang w:val="en-GB" w:eastAsia="en-AU" w:bidi="ar-SA"/>
              </w:rPr>
            </w:pPr>
            <w:r w:rsidRPr="00F0687E">
              <w:rPr>
                <w:lang w:val="en-GB" w:eastAsia="en-AU" w:bidi="ar-SA"/>
              </w:rPr>
              <w:t>27.9</w:t>
            </w:r>
          </w:p>
        </w:tc>
        <w:tc>
          <w:tcPr>
            <w:tcW w:w="1701" w:type="dxa"/>
            <w:vAlign w:val="center"/>
          </w:tcPr>
          <w:p w14:paraId="6FF5ACA7"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3EED66B3"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492C167A" w14:textId="77777777" w:rsidTr="004C6004">
        <w:trPr>
          <w:trHeight w:val="567"/>
        </w:trPr>
        <w:tc>
          <w:tcPr>
            <w:tcW w:w="1242" w:type="dxa"/>
            <w:vMerge/>
            <w:vAlign w:val="center"/>
          </w:tcPr>
          <w:p w14:paraId="1FE749F3" w14:textId="77777777" w:rsidR="0051780C" w:rsidRPr="00F0687E" w:rsidRDefault="0051780C" w:rsidP="00A573C4">
            <w:pPr>
              <w:pStyle w:val="FSTableText"/>
              <w:rPr>
                <w:lang w:val="en-GB" w:eastAsia="en-AU" w:bidi="ar-SA"/>
              </w:rPr>
            </w:pPr>
          </w:p>
        </w:tc>
        <w:tc>
          <w:tcPr>
            <w:tcW w:w="1418" w:type="dxa"/>
            <w:vAlign w:val="center"/>
          </w:tcPr>
          <w:p w14:paraId="070C9F9C" w14:textId="750D0F69" w:rsidR="0051780C" w:rsidRPr="00F0687E" w:rsidRDefault="0051780C" w:rsidP="00A573C4">
            <w:pPr>
              <w:pStyle w:val="FSTableText"/>
              <w:rPr>
                <w:lang w:val="en-GB" w:eastAsia="en-AU" w:bidi="ar-SA"/>
              </w:rPr>
            </w:pPr>
            <w:r w:rsidRPr="00F0687E">
              <w:rPr>
                <w:lang w:val="en-GB" w:eastAsia="en-AU" w:bidi="ar-SA"/>
              </w:rPr>
              <w:t>18</w:t>
            </w:r>
            <w:r w:rsidR="004C6004">
              <w:rPr>
                <w:lang w:val="en-GB" w:eastAsia="en-AU" w:bidi="ar-SA"/>
              </w:rPr>
              <w:t>–</w:t>
            </w:r>
            <w:r w:rsidRPr="00F0687E">
              <w:rPr>
                <w:lang w:val="en-GB" w:eastAsia="en-AU" w:bidi="ar-SA"/>
              </w:rPr>
              <w:t>44 years</w:t>
            </w:r>
          </w:p>
          <w:p w14:paraId="0A53DD38" w14:textId="77777777" w:rsidR="0051780C" w:rsidRPr="00F0687E" w:rsidRDefault="0051780C" w:rsidP="00A573C4">
            <w:pPr>
              <w:pStyle w:val="FSTableText"/>
              <w:rPr>
                <w:lang w:val="en-GB" w:eastAsia="en-AU" w:bidi="ar-SA"/>
              </w:rPr>
            </w:pPr>
            <w:r w:rsidRPr="00F0687E">
              <w:rPr>
                <w:lang w:val="en-GB" w:eastAsia="en-AU" w:bidi="ar-SA"/>
              </w:rPr>
              <w:t>(n=51)</w:t>
            </w:r>
          </w:p>
        </w:tc>
        <w:tc>
          <w:tcPr>
            <w:tcW w:w="1701" w:type="dxa"/>
            <w:vAlign w:val="center"/>
          </w:tcPr>
          <w:p w14:paraId="4E5A7400" w14:textId="77777777" w:rsidR="0051780C" w:rsidRPr="00F0687E" w:rsidRDefault="0051780C" w:rsidP="00A573C4">
            <w:pPr>
              <w:pStyle w:val="FSTableText"/>
              <w:rPr>
                <w:lang w:val="en-GB" w:eastAsia="en-AU" w:bidi="ar-SA"/>
              </w:rPr>
            </w:pPr>
            <w:r w:rsidRPr="00F0687E">
              <w:rPr>
                <w:lang w:val="en-GB" w:eastAsia="en-AU" w:bidi="ar-SA"/>
              </w:rPr>
              <w:t>10.7</w:t>
            </w:r>
          </w:p>
        </w:tc>
        <w:tc>
          <w:tcPr>
            <w:tcW w:w="1701" w:type="dxa"/>
            <w:vAlign w:val="center"/>
          </w:tcPr>
          <w:p w14:paraId="7F2108DA" w14:textId="77777777" w:rsidR="0051780C" w:rsidRPr="00F0687E" w:rsidRDefault="0051780C" w:rsidP="00A573C4">
            <w:pPr>
              <w:pStyle w:val="FSTableText"/>
              <w:rPr>
                <w:lang w:val="en-GB" w:eastAsia="en-AU" w:bidi="ar-SA"/>
              </w:rPr>
            </w:pPr>
            <w:r w:rsidRPr="00F0687E">
              <w:rPr>
                <w:lang w:val="en-GB" w:eastAsia="en-AU" w:bidi="ar-SA"/>
              </w:rPr>
              <w:t>13.6</w:t>
            </w:r>
          </w:p>
        </w:tc>
        <w:tc>
          <w:tcPr>
            <w:tcW w:w="1701" w:type="dxa"/>
            <w:vAlign w:val="center"/>
          </w:tcPr>
          <w:p w14:paraId="315D7FC5"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6AFB63AF"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6970FDC7" w14:textId="77777777" w:rsidTr="004C6004">
        <w:trPr>
          <w:trHeight w:val="567"/>
        </w:trPr>
        <w:tc>
          <w:tcPr>
            <w:tcW w:w="1242" w:type="dxa"/>
            <w:vMerge/>
            <w:vAlign w:val="center"/>
          </w:tcPr>
          <w:p w14:paraId="3B67215C" w14:textId="77777777" w:rsidR="0051780C" w:rsidRPr="00F0687E" w:rsidRDefault="0051780C" w:rsidP="00A573C4">
            <w:pPr>
              <w:pStyle w:val="FSTableText"/>
              <w:rPr>
                <w:lang w:val="en-GB" w:eastAsia="en-AU" w:bidi="ar-SA"/>
              </w:rPr>
            </w:pPr>
          </w:p>
        </w:tc>
        <w:tc>
          <w:tcPr>
            <w:tcW w:w="1418" w:type="dxa"/>
            <w:vAlign w:val="center"/>
          </w:tcPr>
          <w:p w14:paraId="7E77947E" w14:textId="77777777" w:rsidR="0051780C" w:rsidRPr="00F0687E" w:rsidRDefault="0051780C" w:rsidP="00A573C4">
            <w:pPr>
              <w:pStyle w:val="FSTableText"/>
              <w:rPr>
                <w:lang w:val="en-GB" w:eastAsia="en-AU" w:bidi="ar-SA"/>
              </w:rPr>
            </w:pPr>
            <w:r w:rsidRPr="00F0687E">
              <w:rPr>
                <w:lang w:val="en-GB" w:eastAsia="en-AU" w:bidi="ar-SA"/>
              </w:rPr>
              <w:t>45+ years</w:t>
            </w:r>
          </w:p>
          <w:p w14:paraId="4C88B051" w14:textId="77777777" w:rsidR="0051780C" w:rsidRPr="00F0687E" w:rsidRDefault="0051780C" w:rsidP="00A573C4">
            <w:pPr>
              <w:pStyle w:val="FSTableText"/>
              <w:rPr>
                <w:lang w:val="en-GB" w:eastAsia="en-AU" w:bidi="ar-SA"/>
              </w:rPr>
            </w:pPr>
            <w:r w:rsidRPr="00F0687E">
              <w:rPr>
                <w:lang w:val="en-GB" w:eastAsia="en-AU" w:bidi="ar-SA"/>
              </w:rPr>
              <w:t>(n=167)</w:t>
            </w:r>
          </w:p>
        </w:tc>
        <w:tc>
          <w:tcPr>
            <w:tcW w:w="1701" w:type="dxa"/>
            <w:vAlign w:val="center"/>
          </w:tcPr>
          <w:p w14:paraId="32E0E7B9" w14:textId="77777777" w:rsidR="0051780C" w:rsidRPr="00F0687E" w:rsidRDefault="0051780C" w:rsidP="00A573C4">
            <w:pPr>
              <w:pStyle w:val="FSTableText"/>
              <w:rPr>
                <w:lang w:val="en-GB" w:eastAsia="en-AU" w:bidi="ar-SA"/>
              </w:rPr>
            </w:pPr>
            <w:r w:rsidRPr="00F0687E">
              <w:rPr>
                <w:lang w:val="en-GB" w:eastAsia="en-AU" w:bidi="ar-SA"/>
              </w:rPr>
              <w:t>17.0</w:t>
            </w:r>
          </w:p>
        </w:tc>
        <w:tc>
          <w:tcPr>
            <w:tcW w:w="1701" w:type="dxa"/>
            <w:vAlign w:val="center"/>
          </w:tcPr>
          <w:p w14:paraId="792664F1" w14:textId="77777777" w:rsidR="0051780C" w:rsidRPr="00F0687E" w:rsidRDefault="0051780C" w:rsidP="00A573C4">
            <w:pPr>
              <w:pStyle w:val="FSTableText"/>
              <w:rPr>
                <w:lang w:val="en-GB" w:eastAsia="en-AU" w:bidi="ar-SA"/>
              </w:rPr>
            </w:pPr>
            <w:r w:rsidRPr="00F0687E">
              <w:rPr>
                <w:lang w:val="en-GB" w:eastAsia="en-AU" w:bidi="ar-SA"/>
              </w:rPr>
              <w:t>15.9</w:t>
            </w:r>
          </w:p>
        </w:tc>
        <w:tc>
          <w:tcPr>
            <w:tcW w:w="1701" w:type="dxa"/>
            <w:vAlign w:val="center"/>
          </w:tcPr>
          <w:p w14:paraId="50FB6F5B"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58EBCEFF"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4E5DCE80" w14:textId="77777777" w:rsidTr="004C6004">
        <w:trPr>
          <w:trHeight w:val="567"/>
        </w:trPr>
        <w:tc>
          <w:tcPr>
            <w:tcW w:w="1242" w:type="dxa"/>
            <w:vMerge/>
            <w:vAlign w:val="center"/>
          </w:tcPr>
          <w:p w14:paraId="2EC49FC6" w14:textId="77777777" w:rsidR="0051780C" w:rsidRPr="00F0687E" w:rsidRDefault="0051780C" w:rsidP="00A573C4">
            <w:pPr>
              <w:pStyle w:val="FSTableText"/>
              <w:rPr>
                <w:lang w:val="en-GB" w:eastAsia="en-AU" w:bidi="ar-SA"/>
              </w:rPr>
            </w:pPr>
          </w:p>
        </w:tc>
        <w:tc>
          <w:tcPr>
            <w:tcW w:w="1418" w:type="dxa"/>
            <w:vAlign w:val="center"/>
          </w:tcPr>
          <w:p w14:paraId="483238A9" w14:textId="77777777" w:rsidR="0051780C" w:rsidRPr="00F0687E" w:rsidRDefault="0051780C" w:rsidP="00A573C4">
            <w:pPr>
              <w:pStyle w:val="FSTableText"/>
              <w:rPr>
                <w:lang w:val="en-GB" w:eastAsia="en-AU" w:bidi="ar-SA"/>
              </w:rPr>
            </w:pPr>
            <w:r w:rsidRPr="00F0687E">
              <w:rPr>
                <w:lang w:val="en-GB" w:eastAsia="en-AU" w:bidi="ar-SA"/>
              </w:rPr>
              <w:t>All ages (n=223)</w:t>
            </w:r>
          </w:p>
        </w:tc>
        <w:tc>
          <w:tcPr>
            <w:tcW w:w="1701" w:type="dxa"/>
            <w:vAlign w:val="center"/>
          </w:tcPr>
          <w:p w14:paraId="49B47B0B" w14:textId="77777777" w:rsidR="0051780C" w:rsidRPr="00F0687E" w:rsidRDefault="0051780C" w:rsidP="00A573C4">
            <w:pPr>
              <w:pStyle w:val="FSTableText"/>
              <w:rPr>
                <w:lang w:val="en-GB" w:eastAsia="en-AU" w:bidi="ar-SA"/>
              </w:rPr>
            </w:pPr>
            <w:r w:rsidRPr="00F0687E">
              <w:rPr>
                <w:lang w:val="en-GB" w:eastAsia="en-AU" w:bidi="ar-SA"/>
              </w:rPr>
              <w:t>13.8</w:t>
            </w:r>
          </w:p>
        </w:tc>
        <w:tc>
          <w:tcPr>
            <w:tcW w:w="1701" w:type="dxa"/>
            <w:vAlign w:val="center"/>
          </w:tcPr>
          <w:p w14:paraId="2BE1320F" w14:textId="77777777" w:rsidR="0051780C" w:rsidRPr="00F0687E" w:rsidRDefault="0051780C" w:rsidP="00A573C4">
            <w:pPr>
              <w:pStyle w:val="FSTableText"/>
              <w:rPr>
                <w:lang w:val="en-GB" w:eastAsia="en-AU" w:bidi="ar-SA"/>
              </w:rPr>
            </w:pPr>
            <w:r w:rsidRPr="00F0687E">
              <w:rPr>
                <w:lang w:val="en-GB" w:eastAsia="en-AU" w:bidi="ar-SA"/>
              </w:rPr>
              <w:t>15.6</w:t>
            </w:r>
          </w:p>
        </w:tc>
        <w:tc>
          <w:tcPr>
            <w:tcW w:w="1701" w:type="dxa"/>
            <w:vAlign w:val="center"/>
          </w:tcPr>
          <w:p w14:paraId="794A33DA"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2EB41A32"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2A8AAD0B" w14:textId="77777777" w:rsidTr="004C6004">
        <w:trPr>
          <w:trHeight w:val="567"/>
        </w:trPr>
        <w:tc>
          <w:tcPr>
            <w:tcW w:w="1242" w:type="dxa"/>
            <w:vMerge w:val="restart"/>
            <w:vAlign w:val="center"/>
          </w:tcPr>
          <w:p w14:paraId="7FC7D246" w14:textId="77777777" w:rsidR="0051780C" w:rsidRPr="00F0687E" w:rsidRDefault="0051780C" w:rsidP="00A573C4">
            <w:pPr>
              <w:pStyle w:val="FSTableText"/>
              <w:rPr>
                <w:lang w:val="en-GB" w:eastAsia="en-AU" w:bidi="ar-SA"/>
              </w:rPr>
            </w:pPr>
            <w:r w:rsidRPr="00F0687E">
              <w:rPr>
                <w:lang w:val="en-GB" w:eastAsia="en-AU" w:bidi="ar-SA"/>
              </w:rPr>
              <w:t>NZ NCNS</w:t>
            </w:r>
          </w:p>
          <w:p w14:paraId="2FDAB61A" w14:textId="77777777" w:rsidR="0051780C" w:rsidRPr="00F0687E" w:rsidRDefault="0051780C" w:rsidP="00A573C4">
            <w:pPr>
              <w:pStyle w:val="FSTableText"/>
              <w:rPr>
                <w:lang w:val="en-GB" w:eastAsia="en-AU" w:bidi="ar-SA"/>
              </w:rPr>
            </w:pPr>
            <w:r w:rsidRPr="00F0687E">
              <w:rPr>
                <w:lang w:val="en-GB" w:eastAsia="en-AU" w:bidi="ar-SA"/>
              </w:rPr>
              <w:t>2002</w:t>
            </w:r>
          </w:p>
          <w:p w14:paraId="7488C1DC" w14:textId="77777777" w:rsidR="0051780C" w:rsidRPr="00F0687E" w:rsidRDefault="0051780C" w:rsidP="00A573C4">
            <w:pPr>
              <w:pStyle w:val="FSTableText"/>
              <w:rPr>
                <w:lang w:val="en-GB" w:eastAsia="en-AU" w:bidi="ar-SA"/>
              </w:rPr>
            </w:pPr>
            <w:r w:rsidRPr="00F0687E">
              <w:rPr>
                <w:lang w:val="en-GB" w:eastAsia="en-AU" w:bidi="ar-SA"/>
              </w:rPr>
              <w:t>(Day 1)</w:t>
            </w:r>
          </w:p>
        </w:tc>
        <w:tc>
          <w:tcPr>
            <w:tcW w:w="1418" w:type="dxa"/>
            <w:vAlign w:val="center"/>
          </w:tcPr>
          <w:p w14:paraId="3D81FA86" w14:textId="28D5C44F" w:rsidR="0051780C" w:rsidRPr="00F0687E" w:rsidRDefault="0051780C" w:rsidP="00A573C4">
            <w:pPr>
              <w:pStyle w:val="FSTableText"/>
              <w:rPr>
                <w:lang w:val="en-GB" w:eastAsia="en-AU" w:bidi="ar-SA"/>
              </w:rPr>
            </w:pPr>
            <w:r w:rsidRPr="00F0687E">
              <w:rPr>
                <w:lang w:val="en-GB" w:eastAsia="en-AU" w:bidi="ar-SA"/>
              </w:rPr>
              <w:t>5</w:t>
            </w:r>
            <w:r w:rsidR="004C6004">
              <w:rPr>
                <w:lang w:val="en-GB" w:eastAsia="en-AU" w:bidi="ar-SA"/>
              </w:rPr>
              <w:t>–</w:t>
            </w:r>
            <w:r w:rsidRPr="00F0687E">
              <w:rPr>
                <w:lang w:val="en-GB" w:eastAsia="en-AU" w:bidi="ar-SA"/>
              </w:rPr>
              <w:t>12 years</w:t>
            </w:r>
          </w:p>
          <w:p w14:paraId="3E74CC35" w14:textId="77777777" w:rsidR="0051780C" w:rsidRPr="00F0687E" w:rsidRDefault="0051780C" w:rsidP="00A573C4">
            <w:pPr>
              <w:pStyle w:val="FSTableText"/>
              <w:rPr>
                <w:lang w:val="en-GB" w:eastAsia="en-AU" w:bidi="ar-SA"/>
              </w:rPr>
            </w:pPr>
            <w:r w:rsidRPr="00F0687E">
              <w:rPr>
                <w:lang w:val="en-GB" w:eastAsia="en-AU" w:bidi="ar-SA"/>
              </w:rPr>
              <w:t>(n=5)</w:t>
            </w:r>
          </w:p>
        </w:tc>
        <w:tc>
          <w:tcPr>
            <w:tcW w:w="1701" w:type="dxa"/>
            <w:vAlign w:val="center"/>
          </w:tcPr>
          <w:p w14:paraId="21CAEBD1" w14:textId="77777777" w:rsidR="0051780C" w:rsidRPr="00F0687E" w:rsidRDefault="0051780C" w:rsidP="00A573C4">
            <w:pPr>
              <w:pStyle w:val="FSTableText"/>
              <w:rPr>
                <w:lang w:val="en-GB" w:eastAsia="en-AU" w:bidi="ar-SA"/>
              </w:rPr>
            </w:pPr>
            <w:r w:rsidRPr="00F0687E">
              <w:rPr>
                <w:lang w:val="en-GB" w:eastAsia="en-AU" w:bidi="ar-SA"/>
              </w:rPr>
              <w:t>13.4</w:t>
            </w:r>
          </w:p>
        </w:tc>
        <w:tc>
          <w:tcPr>
            <w:tcW w:w="1701" w:type="dxa"/>
            <w:vAlign w:val="center"/>
          </w:tcPr>
          <w:p w14:paraId="00C56D3F" w14:textId="77777777" w:rsidR="0051780C" w:rsidRPr="00F0687E" w:rsidRDefault="0051780C" w:rsidP="00A573C4">
            <w:pPr>
              <w:pStyle w:val="FSTableText"/>
              <w:rPr>
                <w:lang w:val="en-GB" w:eastAsia="en-AU" w:bidi="ar-SA"/>
              </w:rPr>
            </w:pPr>
            <w:r w:rsidRPr="00F0687E">
              <w:rPr>
                <w:lang w:val="en-GB" w:eastAsia="en-AU" w:bidi="ar-SA"/>
              </w:rPr>
              <w:t>13.8</w:t>
            </w:r>
          </w:p>
        </w:tc>
        <w:tc>
          <w:tcPr>
            <w:tcW w:w="1701" w:type="dxa"/>
            <w:vAlign w:val="center"/>
          </w:tcPr>
          <w:p w14:paraId="30FCC5D5"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6C3E3BD8"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1BCDDE58" w14:textId="77777777" w:rsidTr="004C6004">
        <w:trPr>
          <w:trHeight w:val="567"/>
        </w:trPr>
        <w:tc>
          <w:tcPr>
            <w:tcW w:w="1242" w:type="dxa"/>
            <w:vMerge/>
            <w:vAlign w:val="center"/>
          </w:tcPr>
          <w:p w14:paraId="251D3984" w14:textId="77777777" w:rsidR="0051780C" w:rsidRPr="00F0687E" w:rsidRDefault="0051780C" w:rsidP="00A573C4">
            <w:pPr>
              <w:pStyle w:val="FSTableText"/>
              <w:rPr>
                <w:lang w:val="en-GB" w:eastAsia="en-AU" w:bidi="ar-SA"/>
              </w:rPr>
            </w:pPr>
          </w:p>
        </w:tc>
        <w:tc>
          <w:tcPr>
            <w:tcW w:w="1418" w:type="dxa"/>
            <w:vAlign w:val="center"/>
          </w:tcPr>
          <w:p w14:paraId="6D345178" w14:textId="339A5F09" w:rsidR="0051780C" w:rsidRPr="00F0687E" w:rsidRDefault="0051780C" w:rsidP="00A573C4">
            <w:pPr>
              <w:pStyle w:val="FSTableText"/>
              <w:rPr>
                <w:lang w:val="en-GB" w:eastAsia="en-AU" w:bidi="ar-SA"/>
              </w:rPr>
            </w:pPr>
            <w:r w:rsidRPr="00F0687E">
              <w:rPr>
                <w:lang w:val="en-GB" w:eastAsia="en-AU" w:bidi="ar-SA"/>
              </w:rPr>
              <w:t>13</w:t>
            </w:r>
            <w:r w:rsidR="004C6004">
              <w:rPr>
                <w:lang w:val="en-GB" w:eastAsia="en-AU" w:bidi="ar-SA"/>
              </w:rPr>
              <w:t>–</w:t>
            </w:r>
            <w:r w:rsidRPr="00F0687E">
              <w:rPr>
                <w:lang w:val="en-GB" w:eastAsia="en-AU" w:bidi="ar-SA"/>
              </w:rPr>
              <w:t>14 years</w:t>
            </w:r>
          </w:p>
          <w:p w14:paraId="0B26649B" w14:textId="77777777" w:rsidR="0051780C" w:rsidRPr="00F0687E" w:rsidRDefault="0051780C" w:rsidP="00A573C4">
            <w:pPr>
              <w:pStyle w:val="FSTableText"/>
              <w:rPr>
                <w:lang w:val="en-GB" w:eastAsia="en-AU" w:bidi="ar-SA"/>
              </w:rPr>
            </w:pPr>
            <w:r w:rsidRPr="00F0687E">
              <w:rPr>
                <w:lang w:val="en-GB" w:eastAsia="en-AU" w:bidi="ar-SA"/>
              </w:rPr>
              <w:t>(n=2)</w:t>
            </w:r>
          </w:p>
        </w:tc>
        <w:tc>
          <w:tcPr>
            <w:tcW w:w="1701" w:type="dxa"/>
            <w:vAlign w:val="center"/>
          </w:tcPr>
          <w:p w14:paraId="5AEE3319" w14:textId="77777777" w:rsidR="0051780C" w:rsidRPr="00F0687E" w:rsidRDefault="0051780C" w:rsidP="00A573C4">
            <w:pPr>
              <w:pStyle w:val="FSTableText"/>
              <w:rPr>
                <w:lang w:val="en-GB" w:eastAsia="en-AU" w:bidi="ar-SA"/>
              </w:rPr>
            </w:pPr>
            <w:r w:rsidRPr="00F0687E">
              <w:rPr>
                <w:lang w:val="en-GB" w:eastAsia="en-AU" w:bidi="ar-SA"/>
              </w:rPr>
              <w:t>37.3</w:t>
            </w:r>
          </w:p>
        </w:tc>
        <w:tc>
          <w:tcPr>
            <w:tcW w:w="1701" w:type="dxa"/>
            <w:vAlign w:val="center"/>
          </w:tcPr>
          <w:p w14:paraId="7F2B2709"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701" w:type="dxa"/>
            <w:vAlign w:val="center"/>
          </w:tcPr>
          <w:p w14:paraId="3585861F"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5E7724DB" w14:textId="77777777" w:rsidR="0051780C" w:rsidRPr="00F0687E" w:rsidRDefault="0051780C" w:rsidP="00A573C4">
            <w:pPr>
              <w:pStyle w:val="FSTableText"/>
              <w:rPr>
                <w:lang w:val="en-GB" w:eastAsia="en-AU" w:bidi="ar-SA"/>
              </w:rPr>
            </w:pPr>
            <w:r w:rsidRPr="00F0687E">
              <w:rPr>
                <w:lang w:val="en-GB" w:eastAsia="en-AU" w:bidi="ar-SA"/>
              </w:rPr>
              <w:t>Not consumed</w:t>
            </w:r>
          </w:p>
        </w:tc>
      </w:tr>
      <w:tr w:rsidR="0051780C" w:rsidRPr="00552334" w14:paraId="248C37D7" w14:textId="77777777" w:rsidTr="004C6004">
        <w:trPr>
          <w:trHeight w:val="567"/>
        </w:trPr>
        <w:tc>
          <w:tcPr>
            <w:tcW w:w="1242" w:type="dxa"/>
            <w:vMerge/>
            <w:vAlign w:val="center"/>
          </w:tcPr>
          <w:p w14:paraId="43D7A851" w14:textId="77777777" w:rsidR="0051780C" w:rsidRPr="00F0687E" w:rsidRDefault="0051780C" w:rsidP="00A573C4">
            <w:pPr>
              <w:pStyle w:val="FSTableText"/>
              <w:rPr>
                <w:lang w:val="en-GB" w:eastAsia="en-AU" w:bidi="ar-SA"/>
              </w:rPr>
            </w:pPr>
          </w:p>
        </w:tc>
        <w:tc>
          <w:tcPr>
            <w:tcW w:w="1418" w:type="dxa"/>
            <w:vAlign w:val="center"/>
          </w:tcPr>
          <w:p w14:paraId="4360F6CE" w14:textId="77777777" w:rsidR="0051780C" w:rsidRPr="00F0687E" w:rsidRDefault="0051780C" w:rsidP="00A573C4">
            <w:pPr>
              <w:pStyle w:val="FSTableText"/>
              <w:rPr>
                <w:lang w:val="en-GB" w:eastAsia="en-AU" w:bidi="ar-SA"/>
              </w:rPr>
            </w:pPr>
            <w:r w:rsidRPr="00F0687E">
              <w:rPr>
                <w:lang w:val="en-GB" w:eastAsia="en-AU" w:bidi="ar-SA"/>
              </w:rPr>
              <w:t>All ages</w:t>
            </w:r>
          </w:p>
          <w:p w14:paraId="79E90C55" w14:textId="77777777" w:rsidR="0051780C" w:rsidRPr="00F0687E" w:rsidRDefault="0051780C" w:rsidP="00A573C4">
            <w:pPr>
              <w:pStyle w:val="FSTableText"/>
              <w:rPr>
                <w:lang w:val="en-GB" w:eastAsia="en-AU" w:bidi="ar-SA"/>
              </w:rPr>
            </w:pPr>
            <w:r w:rsidRPr="00F0687E">
              <w:rPr>
                <w:lang w:val="en-GB" w:eastAsia="en-AU" w:bidi="ar-SA"/>
              </w:rPr>
              <w:t>(n=7)</w:t>
            </w:r>
          </w:p>
        </w:tc>
        <w:tc>
          <w:tcPr>
            <w:tcW w:w="1701" w:type="dxa"/>
            <w:vAlign w:val="center"/>
          </w:tcPr>
          <w:p w14:paraId="7C8B0E5D" w14:textId="77777777" w:rsidR="0051780C" w:rsidRPr="00F0687E" w:rsidRDefault="0051780C" w:rsidP="00A573C4">
            <w:pPr>
              <w:pStyle w:val="FSTableText"/>
              <w:rPr>
                <w:lang w:val="en-GB" w:eastAsia="en-AU" w:bidi="ar-SA"/>
              </w:rPr>
            </w:pPr>
            <w:r w:rsidRPr="00F0687E">
              <w:rPr>
                <w:lang w:val="en-GB" w:eastAsia="en-AU" w:bidi="ar-SA"/>
              </w:rPr>
              <w:t>22.0</w:t>
            </w:r>
          </w:p>
        </w:tc>
        <w:tc>
          <w:tcPr>
            <w:tcW w:w="1701" w:type="dxa"/>
            <w:vAlign w:val="center"/>
          </w:tcPr>
          <w:p w14:paraId="7DB2FECA" w14:textId="77777777" w:rsidR="0051780C" w:rsidRPr="00F0687E" w:rsidRDefault="0051780C" w:rsidP="00A573C4">
            <w:pPr>
              <w:pStyle w:val="FSTableText"/>
              <w:rPr>
                <w:lang w:val="en-GB" w:eastAsia="en-AU" w:bidi="ar-SA"/>
              </w:rPr>
            </w:pPr>
            <w:r w:rsidRPr="00F0687E">
              <w:rPr>
                <w:lang w:val="en-GB" w:eastAsia="en-AU" w:bidi="ar-SA"/>
              </w:rPr>
              <w:t>13.8</w:t>
            </w:r>
          </w:p>
        </w:tc>
        <w:tc>
          <w:tcPr>
            <w:tcW w:w="1701" w:type="dxa"/>
            <w:vAlign w:val="center"/>
          </w:tcPr>
          <w:p w14:paraId="56E59912" w14:textId="77777777" w:rsidR="0051780C" w:rsidRPr="00F0687E" w:rsidRDefault="0051780C" w:rsidP="00A573C4">
            <w:pPr>
              <w:pStyle w:val="FSTableText"/>
              <w:rPr>
                <w:lang w:val="en-GB" w:eastAsia="en-AU" w:bidi="ar-SA"/>
              </w:rPr>
            </w:pPr>
            <w:r w:rsidRPr="00F0687E">
              <w:rPr>
                <w:lang w:val="en-GB" w:eastAsia="en-AU" w:bidi="ar-SA"/>
              </w:rPr>
              <w:t>Not consumed</w:t>
            </w:r>
          </w:p>
        </w:tc>
        <w:tc>
          <w:tcPr>
            <w:tcW w:w="1523" w:type="dxa"/>
            <w:vAlign w:val="center"/>
          </w:tcPr>
          <w:p w14:paraId="412E33F6" w14:textId="77777777" w:rsidR="0051780C" w:rsidRPr="00F0687E" w:rsidRDefault="0051780C" w:rsidP="00A573C4">
            <w:pPr>
              <w:pStyle w:val="FSTableText"/>
              <w:rPr>
                <w:lang w:val="en-GB" w:eastAsia="en-AU" w:bidi="ar-SA"/>
              </w:rPr>
            </w:pPr>
            <w:r w:rsidRPr="00F0687E">
              <w:rPr>
                <w:lang w:val="en-GB" w:eastAsia="en-AU" w:bidi="ar-SA"/>
              </w:rPr>
              <w:t>Not consumed</w:t>
            </w:r>
          </w:p>
        </w:tc>
      </w:tr>
    </w:tbl>
    <w:p w14:paraId="3246F3EB" w14:textId="77777777" w:rsidR="0051780C" w:rsidRPr="00552334" w:rsidRDefault="0051780C" w:rsidP="0051780C">
      <w:pPr>
        <w:rPr>
          <w:sz w:val="20"/>
          <w:szCs w:val="20"/>
          <w:lang w:val="en-GB" w:eastAsia="en-AU" w:bidi="ar-SA"/>
        </w:rPr>
      </w:pPr>
      <w:r w:rsidRPr="00552334">
        <w:rPr>
          <w:sz w:val="20"/>
          <w:szCs w:val="20"/>
          <w:lang w:val="en-GB" w:eastAsia="en-AU" w:bidi="ar-SA"/>
        </w:rPr>
        <w:t>* Other food groups to which plant sterols were permitted to be added, where there was no consumption for any population groups for either country have not been included in this table. These are yoghurts and breakfast cereals.</w:t>
      </w:r>
    </w:p>
    <w:p w14:paraId="67085CC7" w14:textId="77777777" w:rsidR="0051780C" w:rsidRPr="00552334" w:rsidRDefault="0051780C" w:rsidP="0051780C">
      <w:pPr>
        <w:rPr>
          <w:sz w:val="20"/>
          <w:szCs w:val="20"/>
          <w:lang w:val="en-GB" w:eastAsia="en-AU" w:bidi="ar-SA"/>
        </w:rPr>
      </w:pPr>
      <w:r w:rsidRPr="00552334">
        <w:rPr>
          <w:sz w:val="20"/>
          <w:szCs w:val="20"/>
          <w:lang w:val="en-GB" w:eastAsia="en-AU" w:bidi="ar-SA"/>
        </w:rPr>
        <w:t>** Includes salt reduced</w:t>
      </w:r>
    </w:p>
    <w:p w14:paraId="46DC3966" w14:textId="77777777" w:rsidR="0051780C" w:rsidRPr="00552334" w:rsidRDefault="0051780C" w:rsidP="0051780C">
      <w:pPr>
        <w:rPr>
          <w:lang w:val="en-GB" w:eastAsia="en-AU" w:bidi="ar-SA"/>
        </w:rPr>
      </w:pPr>
      <w:r w:rsidRPr="00552334">
        <w:rPr>
          <w:lang w:val="en-GB" w:eastAsia="en-AU" w:bidi="ar-SA"/>
        </w:rPr>
        <w:br w:type="page"/>
      </w:r>
    </w:p>
    <w:p w14:paraId="0992E89B" w14:textId="5D7FB6FB" w:rsidR="0051780C" w:rsidRPr="00552334" w:rsidRDefault="0051780C" w:rsidP="002166FB">
      <w:pPr>
        <w:pStyle w:val="FSTableTitle"/>
        <w:spacing w:after="120"/>
        <w:rPr>
          <w:b w:val="0"/>
          <w:i/>
          <w:iCs/>
          <w:lang w:val="en-GB" w:eastAsia="en-AU" w:bidi="ar-SA"/>
        </w:rPr>
      </w:pPr>
      <w:r w:rsidRPr="00552334">
        <w:rPr>
          <w:lang w:val="en-GB" w:eastAsia="en-AU"/>
        </w:rPr>
        <w:lastRenderedPageBreak/>
        <w:t xml:space="preserve">Table </w:t>
      </w:r>
      <w:r w:rsidRPr="00E10D8F">
        <w:rPr>
          <w:lang w:val="en-GB" w:eastAsia="en-AU" w:bidi="ar-SA"/>
        </w:rPr>
        <w:t>A</w:t>
      </w:r>
      <w:r w:rsidRPr="00552334">
        <w:rPr>
          <w:lang w:val="en-GB" w:eastAsia="en-AU" w:bidi="ar-SA"/>
        </w:rPr>
        <w:t>6</w:t>
      </w:r>
      <w:r>
        <w:rPr>
          <w:lang w:val="en-GB" w:eastAsia="en-AU" w:bidi="ar-SA"/>
        </w:rPr>
        <w:t xml:space="preserve">: </w:t>
      </w:r>
      <w:r w:rsidRPr="00552334">
        <w:rPr>
          <w:lang w:val="en-GB" w:eastAsia="en-AU"/>
        </w:rPr>
        <w:t>Food contributors to the baseline dietary exposure estimate for foods containing added plant sterols</w:t>
      </w:r>
    </w:p>
    <w:tbl>
      <w:tblPr>
        <w:tblStyle w:val="TableGrid3"/>
        <w:tblW w:w="0" w:type="auto"/>
        <w:tblLook w:val="04A0" w:firstRow="1" w:lastRow="0" w:firstColumn="1" w:lastColumn="0" w:noHBand="0" w:noVBand="1"/>
        <w:tblCaption w:val="Food contributors to the baseline dietary exposure estimate for foods containing added plant sterols"/>
      </w:tblPr>
      <w:tblGrid>
        <w:gridCol w:w="1101"/>
        <w:gridCol w:w="1416"/>
        <w:gridCol w:w="1028"/>
        <w:gridCol w:w="1028"/>
        <w:gridCol w:w="1028"/>
        <w:gridCol w:w="1028"/>
        <w:gridCol w:w="1417"/>
        <w:gridCol w:w="1240"/>
      </w:tblGrid>
      <w:tr w:rsidR="0051780C" w:rsidRPr="00552334" w14:paraId="04944826" w14:textId="77777777" w:rsidTr="004C6004">
        <w:trPr>
          <w:trHeight w:val="331"/>
          <w:tblHeader/>
        </w:trPr>
        <w:tc>
          <w:tcPr>
            <w:tcW w:w="1101" w:type="dxa"/>
            <w:vMerge w:val="restart"/>
            <w:vAlign w:val="center"/>
          </w:tcPr>
          <w:p w14:paraId="5FB55E4A" w14:textId="174D3E0F" w:rsidR="0051780C" w:rsidRPr="00552334" w:rsidRDefault="0051780C" w:rsidP="00A573C4">
            <w:pPr>
              <w:pStyle w:val="FSTableText"/>
              <w:rPr>
                <w:b/>
                <w:lang w:val="en-GB" w:eastAsia="en-AU" w:bidi="ar-SA"/>
              </w:rPr>
            </w:pPr>
            <w:r w:rsidRPr="00552334">
              <w:rPr>
                <w:b/>
                <w:lang w:val="en-GB" w:eastAsia="en-AU" w:bidi="ar-SA"/>
              </w:rPr>
              <w:t>Survey</w:t>
            </w:r>
          </w:p>
        </w:tc>
        <w:tc>
          <w:tcPr>
            <w:tcW w:w="1416" w:type="dxa"/>
            <w:vMerge w:val="restart"/>
            <w:vAlign w:val="center"/>
          </w:tcPr>
          <w:p w14:paraId="4BEF384A" w14:textId="77777777" w:rsidR="0051780C" w:rsidRPr="00552334" w:rsidRDefault="0051780C" w:rsidP="00A573C4">
            <w:pPr>
              <w:pStyle w:val="FSTableText"/>
              <w:jc w:val="center"/>
              <w:rPr>
                <w:b/>
                <w:lang w:val="en-GB" w:eastAsia="en-AU" w:bidi="ar-SA"/>
              </w:rPr>
            </w:pPr>
            <w:r w:rsidRPr="00552334">
              <w:rPr>
                <w:b/>
                <w:lang w:val="en-GB" w:eastAsia="en-AU" w:bidi="ar-SA"/>
              </w:rPr>
              <w:t>Age groups</w:t>
            </w:r>
          </w:p>
        </w:tc>
        <w:tc>
          <w:tcPr>
            <w:tcW w:w="6769" w:type="dxa"/>
            <w:gridSpan w:val="6"/>
            <w:vAlign w:val="center"/>
          </w:tcPr>
          <w:p w14:paraId="334F4EF1" w14:textId="77777777" w:rsidR="0051780C" w:rsidRPr="00552334" w:rsidRDefault="0051780C" w:rsidP="00A573C4">
            <w:pPr>
              <w:pStyle w:val="FSTableText"/>
              <w:jc w:val="center"/>
              <w:rPr>
                <w:b/>
                <w:lang w:val="en-GB" w:eastAsia="en-AU" w:bidi="ar-SA"/>
              </w:rPr>
            </w:pPr>
            <w:r w:rsidRPr="00552334">
              <w:rPr>
                <w:b/>
                <w:lang w:val="en-GB" w:eastAsia="en-AU" w:bidi="ar-SA"/>
              </w:rPr>
              <w:t>% Contribution to plant sterol dietary exposure</w:t>
            </w:r>
          </w:p>
        </w:tc>
      </w:tr>
      <w:tr w:rsidR="0051780C" w:rsidRPr="00552334" w14:paraId="4CAD953A" w14:textId="77777777" w:rsidTr="004C6004">
        <w:trPr>
          <w:trHeight w:val="279"/>
          <w:tblHeader/>
        </w:trPr>
        <w:tc>
          <w:tcPr>
            <w:tcW w:w="1101" w:type="dxa"/>
            <w:vMerge/>
            <w:vAlign w:val="center"/>
          </w:tcPr>
          <w:p w14:paraId="47A0900D" w14:textId="77777777" w:rsidR="0051780C" w:rsidRPr="00552334" w:rsidRDefault="0051780C" w:rsidP="00A573C4">
            <w:pPr>
              <w:pStyle w:val="FSTableText"/>
              <w:rPr>
                <w:b/>
                <w:lang w:val="en-GB" w:eastAsia="en-AU" w:bidi="ar-SA"/>
              </w:rPr>
            </w:pPr>
          </w:p>
        </w:tc>
        <w:tc>
          <w:tcPr>
            <w:tcW w:w="1416" w:type="dxa"/>
            <w:vMerge/>
            <w:vAlign w:val="center"/>
          </w:tcPr>
          <w:p w14:paraId="75C3300A" w14:textId="77777777" w:rsidR="0051780C" w:rsidRPr="00552334" w:rsidRDefault="0051780C" w:rsidP="00A573C4">
            <w:pPr>
              <w:pStyle w:val="FSTableText"/>
              <w:jc w:val="center"/>
              <w:rPr>
                <w:b/>
                <w:lang w:val="en-GB" w:eastAsia="en-AU" w:bidi="ar-SA"/>
              </w:rPr>
            </w:pPr>
          </w:p>
        </w:tc>
        <w:tc>
          <w:tcPr>
            <w:tcW w:w="2056" w:type="dxa"/>
            <w:gridSpan w:val="2"/>
            <w:vAlign w:val="center"/>
          </w:tcPr>
          <w:p w14:paraId="5C16F05C" w14:textId="77777777" w:rsidR="0051780C" w:rsidRPr="00552334" w:rsidRDefault="0051780C" w:rsidP="00A573C4">
            <w:pPr>
              <w:pStyle w:val="FSTableText"/>
              <w:jc w:val="center"/>
              <w:rPr>
                <w:b/>
                <w:lang w:val="en-GB" w:eastAsia="en-AU" w:bidi="ar-SA"/>
              </w:rPr>
            </w:pPr>
            <w:r w:rsidRPr="00552334">
              <w:rPr>
                <w:b/>
                <w:lang w:val="en-GB" w:eastAsia="en-AU" w:bidi="ar-SA"/>
              </w:rPr>
              <w:t>Edible oil spread,</w:t>
            </w:r>
          </w:p>
          <w:p w14:paraId="770FD581" w14:textId="77777777" w:rsidR="0051780C" w:rsidRPr="00552334" w:rsidRDefault="0051780C" w:rsidP="00A573C4">
            <w:pPr>
              <w:pStyle w:val="FSTableText"/>
              <w:jc w:val="center"/>
              <w:rPr>
                <w:b/>
                <w:lang w:val="en-GB" w:eastAsia="en-AU" w:bidi="ar-SA"/>
              </w:rPr>
            </w:pPr>
            <w:r w:rsidRPr="00552334">
              <w:rPr>
                <w:b/>
                <w:lang w:val="en-GB" w:eastAsia="en-AU" w:bidi="ar-SA"/>
              </w:rPr>
              <w:t>standard fat</w:t>
            </w:r>
          </w:p>
        </w:tc>
        <w:tc>
          <w:tcPr>
            <w:tcW w:w="2056" w:type="dxa"/>
            <w:gridSpan w:val="2"/>
            <w:vAlign w:val="center"/>
          </w:tcPr>
          <w:p w14:paraId="357EBF22" w14:textId="77777777" w:rsidR="0051780C" w:rsidRPr="00552334" w:rsidRDefault="0051780C" w:rsidP="00A573C4">
            <w:pPr>
              <w:pStyle w:val="FSTableText"/>
              <w:jc w:val="center"/>
              <w:rPr>
                <w:b/>
                <w:lang w:val="en-GB" w:eastAsia="en-AU" w:bidi="ar-SA"/>
              </w:rPr>
            </w:pPr>
            <w:r w:rsidRPr="00552334">
              <w:rPr>
                <w:b/>
                <w:lang w:val="en-GB" w:eastAsia="en-AU" w:bidi="ar-SA"/>
              </w:rPr>
              <w:t>Edible oil spread,</w:t>
            </w:r>
          </w:p>
          <w:p w14:paraId="5A774C33" w14:textId="77777777" w:rsidR="0051780C" w:rsidRPr="00552334" w:rsidRDefault="0051780C" w:rsidP="00A573C4">
            <w:pPr>
              <w:pStyle w:val="FSTableText"/>
              <w:jc w:val="center"/>
              <w:rPr>
                <w:b/>
                <w:lang w:val="en-GB" w:eastAsia="en-AU" w:bidi="ar-SA"/>
              </w:rPr>
            </w:pPr>
            <w:r w:rsidRPr="00552334">
              <w:rPr>
                <w:b/>
                <w:lang w:val="en-GB" w:eastAsia="en-AU" w:bidi="ar-SA"/>
              </w:rPr>
              <w:t>reduced fat</w:t>
            </w:r>
          </w:p>
        </w:tc>
        <w:tc>
          <w:tcPr>
            <w:tcW w:w="1417" w:type="dxa"/>
            <w:vMerge w:val="restart"/>
            <w:vAlign w:val="center"/>
          </w:tcPr>
          <w:p w14:paraId="2DB319FE" w14:textId="77777777" w:rsidR="0051780C" w:rsidRPr="00552334" w:rsidRDefault="0051780C" w:rsidP="00A573C4">
            <w:pPr>
              <w:pStyle w:val="FSTableText"/>
              <w:jc w:val="center"/>
              <w:rPr>
                <w:b/>
                <w:lang w:val="en-GB" w:eastAsia="en-AU" w:bidi="ar-SA"/>
              </w:rPr>
            </w:pPr>
            <w:r w:rsidRPr="00552334">
              <w:rPr>
                <w:b/>
                <w:lang w:val="en-GB" w:eastAsia="en-AU" w:bidi="ar-SA"/>
              </w:rPr>
              <w:t>Unflavoured milk</w:t>
            </w:r>
          </w:p>
        </w:tc>
        <w:tc>
          <w:tcPr>
            <w:tcW w:w="1240" w:type="dxa"/>
            <w:vMerge w:val="restart"/>
            <w:vAlign w:val="center"/>
          </w:tcPr>
          <w:p w14:paraId="4AF8FA77" w14:textId="77777777" w:rsidR="0051780C" w:rsidRPr="00552334" w:rsidRDefault="0051780C" w:rsidP="00A573C4">
            <w:pPr>
              <w:pStyle w:val="FSTableText"/>
              <w:jc w:val="center"/>
              <w:rPr>
                <w:b/>
                <w:lang w:val="en-GB" w:eastAsia="en-AU" w:bidi="ar-SA"/>
              </w:rPr>
            </w:pPr>
            <w:r w:rsidRPr="00552334">
              <w:rPr>
                <w:b/>
                <w:lang w:val="en-GB" w:eastAsia="en-AU" w:bidi="ar-SA"/>
              </w:rPr>
              <w:t>Processed cheese</w:t>
            </w:r>
          </w:p>
        </w:tc>
      </w:tr>
      <w:tr w:rsidR="0051780C" w:rsidRPr="00552334" w14:paraId="2CB4E65A" w14:textId="77777777" w:rsidTr="004C6004">
        <w:trPr>
          <w:trHeight w:val="510"/>
          <w:tblHeader/>
        </w:trPr>
        <w:tc>
          <w:tcPr>
            <w:tcW w:w="1101" w:type="dxa"/>
            <w:vMerge/>
            <w:vAlign w:val="center"/>
          </w:tcPr>
          <w:p w14:paraId="3A429E6C" w14:textId="77777777" w:rsidR="0051780C" w:rsidRPr="00552334" w:rsidRDefault="0051780C" w:rsidP="00A573C4">
            <w:pPr>
              <w:pStyle w:val="FSTableText"/>
              <w:rPr>
                <w:lang w:val="en-GB" w:eastAsia="en-AU" w:bidi="ar-SA"/>
              </w:rPr>
            </w:pPr>
          </w:p>
        </w:tc>
        <w:tc>
          <w:tcPr>
            <w:tcW w:w="1416" w:type="dxa"/>
            <w:vMerge/>
            <w:vAlign w:val="center"/>
          </w:tcPr>
          <w:p w14:paraId="28C47299" w14:textId="77777777" w:rsidR="0051780C" w:rsidRPr="00552334" w:rsidRDefault="0051780C" w:rsidP="00A573C4">
            <w:pPr>
              <w:pStyle w:val="FSTableText"/>
              <w:rPr>
                <w:lang w:val="en-GB" w:eastAsia="en-AU" w:bidi="ar-SA"/>
              </w:rPr>
            </w:pPr>
          </w:p>
        </w:tc>
        <w:tc>
          <w:tcPr>
            <w:tcW w:w="1028" w:type="dxa"/>
            <w:vAlign w:val="center"/>
          </w:tcPr>
          <w:p w14:paraId="136D1780"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Standard salt</w:t>
            </w:r>
          </w:p>
        </w:tc>
        <w:tc>
          <w:tcPr>
            <w:tcW w:w="1028" w:type="dxa"/>
            <w:vAlign w:val="center"/>
          </w:tcPr>
          <w:p w14:paraId="5B2B3AA7"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Reduced salt</w:t>
            </w:r>
          </w:p>
        </w:tc>
        <w:tc>
          <w:tcPr>
            <w:tcW w:w="1028" w:type="dxa"/>
            <w:vAlign w:val="center"/>
          </w:tcPr>
          <w:p w14:paraId="2475F881"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Standard salt</w:t>
            </w:r>
          </w:p>
        </w:tc>
        <w:tc>
          <w:tcPr>
            <w:tcW w:w="1028" w:type="dxa"/>
            <w:vAlign w:val="center"/>
          </w:tcPr>
          <w:p w14:paraId="5CCB2C8D" w14:textId="77777777" w:rsidR="0051780C" w:rsidRPr="00552334" w:rsidRDefault="0051780C" w:rsidP="00A573C4">
            <w:pPr>
              <w:pStyle w:val="FSTableText"/>
              <w:jc w:val="center"/>
              <w:rPr>
                <w:sz w:val="18"/>
                <w:szCs w:val="18"/>
                <w:lang w:val="en-GB" w:eastAsia="en-AU" w:bidi="ar-SA"/>
              </w:rPr>
            </w:pPr>
            <w:r w:rsidRPr="00552334">
              <w:rPr>
                <w:sz w:val="18"/>
                <w:szCs w:val="18"/>
                <w:lang w:val="en-GB" w:eastAsia="en-AU" w:bidi="ar-SA"/>
              </w:rPr>
              <w:t>Reduced salt</w:t>
            </w:r>
          </w:p>
        </w:tc>
        <w:tc>
          <w:tcPr>
            <w:tcW w:w="1417" w:type="dxa"/>
            <w:vMerge/>
            <w:vAlign w:val="center"/>
          </w:tcPr>
          <w:p w14:paraId="79790632" w14:textId="77777777" w:rsidR="0051780C" w:rsidRPr="00552334" w:rsidRDefault="0051780C" w:rsidP="00A573C4">
            <w:pPr>
              <w:pStyle w:val="FSTableText"/>
              <w:rPr>
                <w:lang w:val="en-GB" w:eastAsia="en-AU" w:bidi="ar-SA"/>
              </w:rPr>
            </w:pPr>
          </w:p>
        </w:tc>
        <w:tc>
          <w:tcPr>
            <w:tcW w:w="1240" w:type="dxa"/>
            <w:vMerge/>
            <w:vAlign w:val="center"/>
          </w:tcPr>
          <w:p w14:paraId="32EF985D" w14:textId="77777777" w:rsidR="0051780C" w:rsidRPr="00552334" w:rsidRDefault="0051780C" w:rsidP="00A573C4">
            <w:pPr>
              <w:pStyle w:val="FSTableText"/>
              <w:rPr>
                <w:lang w:val="en-GB" w:eastAsia="en-AU" w:bidi="ar-SA"/>
              </w:rPr>
            </w:pPr>
          </w:p>
        </w:tc>
      </w:tr>
      <w:tr w:rsidR="0051780C" w:rsidRPr="00552334" w14:paraId="3CB6A1CF" w14:textId="77777777" w:rsidTr="004C6004">
        <w:trPr>
          <w:trHeight w:val="454"/>
        </w:trPr>
        <w:tc>
          <w:tcPr>
            <w:tcW w:w="1101" w:type="dxa"/>
            <w:vMerge w:val="restart"/>
            <w:vAlign w:val="center"/>
          </w:tcPr>
          <w:p w14:paraId="32F5D7DF" w14:textId="77777777" w:rsidR="0051780C" w:rsidRPr="00552334" w:rsidRDefault="0051780C" w:rsidP="00A573C4">
            <w:pPr>
              <w:pStyle w:val="FSTableText"/>
              <w:rPr>
                <w:lang w:val="en-GB" w:eastAsia="en-AU" w:bidi="ar-SA"/>
              </w:rPr>
            </w:pPr>
            <w:r w:rsidRPr="00552334">
              <w:rPr>
                <w:lang w:val="en-GB" w:eastAsia="en-AU" w:bidi="ar-SA"/>
              </w:rPr>
              <w:t>NNPAS</w:t>
            </w:r>
          </w:p>
          <w:p w14:paraId="1C67634D" w14:textId="77777777" w:rsidR="0051780C" w:rsidRPr="00552334" w:rsidRDefault="0051780C" w:rsidP="00A573C4">
            <w:pPr>
              <w:pStyle w:val="FSTableText"/>
              <w:rPr>
                <w:lang w:val="en-GB" w:eastAsia="en-AU" w:bidi="ar-SA"/>
              </w:rPr>
            </w:pPr>
            <w:r w:rsidRPr="00552334">
              <w:rPr>
                <w:lang w:val="en-GB" w:eastAsia="en-AU" w:bidi="ar-SA"/>
              </w:rPr>
              <w:t>2011-12</w:t>
            </w:r>
          </w:p>
          <w:p w14:paraId="455939EB" w14:textId="77777777" w:rsidR="0051780C" w:rsidRPr="00552334" w:rsidRDefault="0051780C" w:rsidP="00A573C4">
            <w:pPr>
              <w:pStyle w:val="FSTableText"/>
              <w:rPr>
                <w:lang w:val="en-GB" w:eastAsia="en-AU" w:bidi="ar-SA"/>
              </w:rPr>
            </w:pPr>
            <w:r w:rsidRPr="00552334">
              <w:rPr>
                <w:lang w:val="en-GB" w:eastAsia="en-AU" w:bidi="ar-SA"/>
              </w:rPr>
              <w:t>(Day 1&amp;2)</w:t>
            </w:r>
          </w:p>
        </w:tc>
        <w:tc>
          <w:tcPr>
            <w:tcW w:w="1416" w:type="dxa"/>
            <w:vAlign w:val="center"/>
          </w:tcPr>
          <w:p w14:paraId="0B0FC803" w14:textId="4B3C68B6" w:rsidR="0051780C" w:rsidRPr="00E10D8F" w:rsidRDefault="0051780C" w:rsidP="00A573C4">
            <w:pPr>
              <w:pStyle w:val="FSTableText"/>
              <w:rPr>
                <w:lang w:val="en-GB" w:eastAsia="en-AU" w:bidi="ar-SA"/>
              </w:rPr>
            </w:pPr>
            <w:r w:rsidRPr="00552334">
              <w:rPr>
                <w:lang w:val="en-GB" w:eastAsia="en-AU" w:bidi="ar-SA"/>
              </w:rPr>
              <w:t>2</w:t>
            </w:r>
            <w:r w:rsidR="004C6004">
              <w:rPr>
                <w:lang w:val="en-GB" w:eastAsia="en-AU" w:bidi="ar-SA"/>
              </w:rPr>
              <w:t>–</w:t>
            </w:r>
            <w:r w:rsidRPr="00552334">
              <w:rPr>
                <w:lang w:val="en-GB" w:eastAsia="en-AU" w:bidi="ar-SA"/>
              </w:rPr>
              <w:t>4 years</w:t>
            </w:r>
          </w:p>
          <w:p w14:paraId="7778D42F" w14:textId="77777777" w:rsidR="0051780C" w:rsidRPr="00552334" w:rsidRDefault="0051780C" w:rsidP="00A573C4">
            <w:pPr>
              <w:pStyle w:val="FSTableText"/>
              <w:rPr>
                <w:lang w:val="en-GB" w:eastAsia="en-AU" w:bidi="ar-SA"/>
              </w:rPr>
            </w:pPr>
            <w:r w:rsidRPr="00552334">
              <w:rPr>
                <w:lang w:val="en-GB" w:eastAsia="en-AU" w:bidi="ar-SA"/>
              </w:rPr>
              <w:t>(n=7)</w:t>
            </w:r>
          </w:p>
        </w:tc>
        <w:tc>
          <w:tcPr>
            <w:tcW w:w="1028" w:type="dxa"/>
            <w:vAlign w:val="center"/>
          </w:tcPr>
          <w:p w14:paraId="7170F8A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15FFCF99" w14:textId="77777777" w:rsidR="0051780C" w:rsidRPr="00552334" w:rsidRDefault="0051780C" w:rsidP="00A573C4">
            <w:pPr>
              <w:pStyle w:val="FSTableText"/>
              <w:rPr>
                <w:lang w:val="en-GB" w:eastAsia="en-AU" w:bidi="ar-SA"/>
              </w:rPr>
            </w:pPr>
            <w:r w:rsidRPr="00552334">
              <w:rPr>
                <w:lang w:val="en-GB" w:eastAsia="en-AU" w:bidi="ar-SA"/>
              </w:rPr>
              <w:t>61</w:t>
            </w:r>
          </w:p>
        </w:tc>
        <w:tc>
          <w:tcPr>
            <w:tcW w:w="1028" w:type="dxa"/>
            <w:vAlign w:val="center"/>
          </w:tcPr>
          <w:p w14:paraId="11CBEB97"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719AC83" w14:textId="77777777" w:rsidR="0051780C" w:rsidRPr="00552334" w:rsidRDefault="0051780C" w:rsidP="00A573C4">
            <w:pPr>
              <w:pStyle w:val="FSTableText"/>
              <w:rPr>
                <w:lang w:val="en-GB" w:eastAsia="en-AU" w:bidi="ar-SA"/>
              </w:rPr>
            </w:pPr>
            <w:r w:rsidRPr="00552334">
              <w:rPr>
                <w:lang w:val="en-GB" w:eastAsia="en-AU" w:bidi="ar-SA"/>
              </w:rPr>
              <w:t>39</w:t>
            </w:r>
          </w:p>
        </w:tc>
        <w:tc>
          <w:tcPr>
            <w:tcW w:w="1417" w:type="dxa"/>
            <w:vAlign w:val="center"/>
          </w:tcPr>
          <w:p w14:paraId="0EFC0153"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4CB778F"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187A6AB5" w14:textId="77777777" w:rsidTr="004C6004">
        <w:trPr>
          <w:trHeight w:val="454"/>
        </w:trPr>
        <w:tc>
          <w:tcPr>
            <w:tcW w:w="1101" w:type="dxa"/>
            <w:vMerge/>
            <w:vAlign w:val="center"/>
          </w:tcPr>
          <w:p w14:paraId="456A5B97" w14:textId="77777777" w:rsidR="0051780C" w:rsidRPr="00552334" w:rsidRDefault="0051780C" w:rsidP="00A573C4">
            <w:pPr>
              <w:pStyle w:val="FSTableText"/>
              <w:rPr>
                <w:lang w:val="en-GB" w:eastAsia="en-AU" w:bidi="ar-SA"/>
              </w:rPr>
            </w:pPr>
          </w:p>
        </w:tc>
        <w:tc>
          <w:tcPr>
            <w:tcW w:w="1416" w:type="dxa"/>
            <w:vAlign w:val="center"/>
          </w:tcPr>
          <w:p w14:paraId="1C487E15" w14:textId="0DFFB854" w:rsidR="0051780C" w:rsidRPr="00552334" w:rsidRDefault="0051780C" w:rsidP="00A573C4">
            <w:pPr>
              <w:pStyle w:val="FSTableText"/>
              <w:rPr>
                <w:lang w:val="en-GB" w:eastAsia="en-AU" w:bidi="ar-SA"/>
              </w:rPr>
            </w:pPr>
            <w:r w:rsidRPr="00552334">
              <w:rPr>
                <w:lang w:val="en-GB" w:eastAsia="en-AU" w:bidi="ar-SA"/>
              </w:rPr>
              <w:t>5</w:t>
            </w:r>
            <w:r w:rsidR="004C6004">
              <w:rPr>
                <w:lang w:val="en-GB" w:eastAsia="en-AU" w:bidi="ar-SA"/>
              </w:rPr>
              <w:t>–</w:t>
            </w:r>
            <w:r w:rsidRPr="00552334">
              <w:rPr>
                <w:lang w:val="en-GB" w:eastAsia="en-AU" w:bidi="ar-SA"/>
              </w:rPr>
              <w:t>12 years</w:t>
            </w:r>
          </w:p>
          <w:p w14:paraId="2419B762" w14:textId="77777777" w:rsidR="0051780C" w:rsidRPr="00552334" w:rsidRDefault="0051780C" w:rsidP="00A573C4">
            <w:pPr>
              <w:pStyle w:val="FSTableText"/>
              <w:rPr>
                <w:lang w:val="en-GB" w:eastAsia="en-AU" w:bidi="ar-SA"/>
              </w:rPr>
            </w:pPr>
            <w:r w:rsidRPr="00552334">
              <w:rPr>
                <w:lang w:val="en-GB" w:eastAsia="en-AU" w:bidi="ar-SA"/>
              </w:rPr>
              <w:t>(n=22)</w:t>
            </w:r>
          </w:p>
        </w:tc>
        <w:tc>
          <w:tcPr>
            <w:tcW w:w="1028" w:type="dxa"/>
            <w:vAlign w:val="center"/>
          </w:tcPr>
          <w:p w14:paraId="099CF69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65AC6CA5" w14:textId="77777777" w:rsidR="0051780C" w:rsidRPr="00552334" w:rsidRDefault="0051780C" w:rsidP="00A573C4">
            <w:pPr>
              <w:pStyle w:val="FSTableText"/>
              <w:rPr>
                <w:lang w:val="en-GB" w:eastAsia="en-AU" w:bidi="ar-SA"/>
              </w:rPr>
            </w:pPr>
            <w:r w:rsidRPr="00552334">
              <w:rPr>
                <w:lang w:val="en-GB" w:eastAsia="en-AU" w:bidi="ar-SA"/>
              </w:rPr>
              <w:t>42</w:t>
            </w:r>
          </w:p>
        </w:tc>
        <w:tc>
          <w:tcPr>
            <w:tcW w:w="1028" w:type="dxa"/>
            <w:vAlign w:val="center"/>
          </w:tcPr>
          <w:p w14:paraId="22D0F0D3"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44B3A44C" w14:textId="77777777" w:rsidR="0051780C" w:rsidRPr="00552334" w:rsidRDefault="0051780C" w:rsidP="00A573C4">
            <w:pPr>
              <w:pStyle w:val="FSTableText"/>
              <w:rPr>
                <w:lang w:val="en-GB" w:eastAsia="en-AU" w:bidi="ar-SA"/>
              </w:rPr>
            </w:pPr>
            <w:r w:rsidRPr="00552334">
              <w:rPr>
                <w:lang w:val="en-GB" w:eastAsia="en-AU" w:bidi="ar-SA"/>
              </w:rPr>
              <w:t>58</w:t>
            </w:r>
          </w:p>
        </w:tc>
        <w:tc>
          <w:tcPr>
            <w:tcW w:w="1417" w:type="dxa"/>
            <w:vAlign w:val="center"/>
          </w:tcPr>
          <w:p w14:paraId="3AB2C2B0"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6E3B3EC"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64391E1E" w14:textId="77777777" w:rsidTr="004C6004">
        <w:trPr>
          <w:trHeight w:val="454"/>
        </w:trPr>
        <w:tc>
          <w:tcPr>
            <w:tcW w:w="1101" w:type="dxa"/>
            <w:vMerge/>
            <w:vAlign w:val="center"/>
          </w:tcPr>
          <w:p w14:paraId="2B5C72E7" w14:textId="77777777" w:rsidR="0051780C" w:rsidRPr="00552334" w:rsidRDefault="0051780C" w:rsidP="00A573C4">
            <w:pPr>
              <w:pStyle w:val="FSTableText"/>
              <w:rPr>
                <w:lang w:val="en-GB" w:eastAsia="en-AU" w:bidi="ar-SA"/>
              </w:rPr>
            </w:pPr>
          </w:p>
        </w:tc>
        <w:tc>
          <w:tcPr>
            <w:tcW w:w="1416" w:type="dxa"/>
            <w:vAlign w:val="center"/>
          </w:tcPr>
          <w:p w14:paraId="14B0D6E5" w14:textId="0E9350BC" w:rsidR="0051780C" w:rsidRPr="00552334" w:rsidRDefault="0051780C" w:rsidP="00A573C4">
            <w:pPr>
              <w:pStyle w:val="FSTableText"/>
              <w:rPr>
                <w:lang w:val="en-GB" w:eastAsia="en-AU" w:bidi="ar-SA"/>
              </w:rPr>
            </w:pPr>
            <w:r w:rsidRPr="00552334">
              <w:rPr>
                <w:lang w:val="en-GB" w:eastAsia="en-AU" w:bidi="ar-SA"/>
              </w:rPr>
              <w:t>13</w:t>
            </w:r>
            <w:r w:rsidR="004C6004">
              <w:rPr>
                <w:lang w:val="en-GB" w:eastAsia="en-AU" w:bidi="ar-SA"/>
              </w:rPr>
              <w:t>–</w:t>
            </w:r>
            <w:r w:rsidRPr="00552334">
              <w:rPr>
                <w:lang w:val="en-GB" w:eastAsia="en-AU" w:bidi="ar-SA"/>
              </w:rPr>
              <w:t>17 years</w:t>
            </w:r>
          </w:p>
          <w:p w14:paraId="5F30D3E6" w14:textId="77777777" w:rsidR="0051780C" w:rsidRPr="00552334" w:rsidRDefault="0051780C" w:rsidP="00A573C4">
            <w:pPr>
              <w:pStyle w:val="FSTableText"/>
              <w:rPr>
                <w:lang w:val="en-GB" w:eastAsia="en-AU" w:bidi="ar-SA"/>
              </w:rPr>
            </w:pPr>
            <w:r w:rsidRPr="00552334">
              <w:rPr>
                <w:lang w:val="en-GB" w:eastAsia="en-AU" w:bidi="ar-SA"/>
              </w:rPr>
              <w:t>(n=15)</w:t>
            </w:r>
          </w:p>
        </w:tc>
        <w:tc>
          <w:tcPr>
            <w:tcW w:w="1028" w:type="dxa"/>
            <w:vAlign w:val="center"/>
          </w:tcPr>
          <w:p w14:paraId="6F3E0E0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3AADC6FD" w14:textId="77777777" w:rsidR="0051780C" w:rsidRPr="00552334" w:rsidRDefault="0051780C" w:rsidP="00A573C4">
            <w:pPr>
              <w:pStyle w:val="FSTableText"/>
              <w:rPr>
                <w:lang w:val="en-GB" w:eastAsia="en-AU" w:bidi="ar-SA"/>
              </w:rPr>
            </w:pPr>
            <w:r w:rsidRPr="00552334">
              <w:rPr>
                <w:lang w:val="en-GB" w:eastAsia="en-AU" w:bidi="ar-SA"/>
              </w:rPr>
              <w:t>19</w:t>
            </w:r>
          </w:p>
        </w:tc>
        <w:tc>
          <w:tcPr>
            <w:tcW w:w="1028" w:type="dxa"/>
            <w:vAlign w:val="center"/>
          </w:tcPr>
          <w:p w14:paraId="37B7AFA7"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1CDA680C" w14:textId="77777777" w:rsidR="0051780C" w:rsidRPr="00552334" w:rsidRDefault="0051780C" w:rsidP="00A573C4">
            <w:pPr>
              <w:pStyle w:val="FSTableText"/>
              <w:rPr>
                <w:lang w:val="en-GB" w:eastAsia="en-AU" w:bidi="ar-SA"/>
              </w:rPr>
            </w:pPr>
            <w:r w:rsidRPr="00552334">
              <w:rPr>
                <w:lang w:val="en-GB" w:eastAsia="en-AU" w:bidi="ar-SA"/>
              </w:rPr>
              <w:t>81</w:t>
            </w:r>
          </w:p>
        </w:tc>
        <w:tc>
          <w:tcPr>
            <w:tcW w:w="1417" w:type="dxa"/>
            <w:vAlign w:val="center"/>
          </w:tcPr>
          <w:p w14:paraId="01D647B0"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1488EEAD"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2BF89A79" w14:textId="77777777" w:rsidTr="004C6004">
        <w:trPr>
          <w:trHeight w:val="454"/>
        </w:trPr>
        <w:tc>
          <w:tcPr>
            <w:tcW w:w="1101" w:type="dxa"/>
            <w:vMerge/>
            <w:vAlign w:val="center"/>
          </w:tcPr>
          <w:p w14:paraId="7E454960" w14:textId="77777777" w:rsidR="0051780C" w:rsidRPr="00552334" w:rsidRDefault="0051780C" w:rsidP="00A573C4">
            <w:pPr>
              <w:pStyle w:val="FSTableText"/>
              <w:rPr>
                <w:lang w:val="en-GB" w:eastAsia="en-AU" w:bidi="ar-SA"/>
              </w:rPr>
            </w:pPr>
          </w:p>
        </w:tc>
        <w:tc>
          <w:tcPr>
            <w:tcW w:w="1416" w:type="dxa"/>
            <w:vAlign w:val="center"/>
          </w:tcPr>
          <w:p w14:paraId="431CD7F8" w14:textId="14AE2F4C" w:rsidR="0051780C" w:rsidRPr="00552334" w:rsidRDefault="0051780C" w:rsidP="00A573C4">
            <w:pPr>
              <w:pStyle w:val="FSTableText"/>
              <w:rPr>
                <w:lang w:val="en-GB" w:eastAsia="en-AU" w:bidi="ar-SA"/>
              </w:rPr>
            </w:pPr>
            <w:r w:rsidRPr="00552334">
              <w:rPr>
                <w:lang w:val="en-GB" w:eastAsia="en-AU" w:bidi="ar-SA"/>
              </w:rPr>
              <w:t>18</w:t>
            </w:r>
            <w:r w:rsidR="004C6004">
              <w:rPr>
                <w:lang w:val="en-GB" w:eastAsia="en-AU" w:bidi="ar-SA"/>
              </w:rPr>
              <w:t>–</w:t>
            </w:r>
            <w:r w:rsidRPr="00552334">
              <w:rPr>
                <w:lang w:val="en-GB" w:eastAsia="en-AU" w:bidi="ar-SA"/>
              </w:rPr>
              <w:t>44 years</w:t>
            </w:r>
          </w:p>
          <w:p w14:paraId="449614BE" w14:textId="77777777" w:rsidR="0051780C" w:rsidRPr="00552334" w:rsidRDefault="0051780C" w:rsidP="00A573C4">
            <w:pPr>
              <w:pStyle w:val="FSTableText"/>
              <w:rPr>
                <w:lang w:val="en-GB" w:eastAsia="en-AU" w:bidi="ar-SA"/>
              </w:rPr>
            </w:pPr>
            <w:r w:rsidRPr="00552334">
              <w:rPr>
                <w:lang w:val="en-GB" w:eastAsia="en-AU" w:bidi="ar-SA"/>
              </w:rPr>
              <w:t>(n=81)</w:t>
            </w:r>
          </w:p>
        </w:tc>
        <w:tc>
          <w:tcPr>
            <w:tcW w:w="1028" w:type="dxa"/>
            <w:vAlign w:val="center"/>
          </w:tcPr>
          <w:p w14:paraId="4CA69A1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2E720866" w14:textId="77777777" w:rsidR="0051780C" w:rsidRPr="00552334" w:rsidRDefault="0051780C" w:rsidP="00A573C4">
            <w:pPr>
              <w:pStyle w:val="FSTableText"/>
              <w:rPr>
                <w:lang w:val="en-GB" w:eastAsia="en-AU" w:bidi="ar-SA"/>
              </w:rPr>
            </w:pPr>
            <w:r w:rsidRPr="00552334">
              <w:rPr>
                <w:lang w:val="en-GB" w:eastAsia="en-AU" w:bidi="ar-SA"/>
              </w:rPr>
              <w:t>55</w:t>
            </w:r>
          </w:p>
        </w:tc>
        <w:tc>
          <w:tcPr>
            <w:tcW w:w="1028" w:type="dxa"/>
            <w:vAlign w:val="center"/>
          </w:tcPr>
          <w:p w14:paraId="67B8F2B1"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3D434EA3" w14:textId="77777777" w:rsidR="0051780C" w:rsidRPr="00552334" w:rsidRDefault="0051780C" w:rsidP="00A573C4">
            <w:pPr>
              <w:pStyle w:val="FSTableText"/>
              <w:rPr>
                <w:lang w:val="en-GB" w:eastAsia="en-AU" w:bidi="ar-SA"/>
              </w:rPr>
            </w:pPr>
            <w:r w:rsidRPr="00552334">
              <w:rPr>
                <w:lang w:val="en-GB" w:eastAsia="en-AU" w:bidi="ar-SA"/>
              </w:rPr>
              <w:t>41</w:t>
            </w:r>
          </w:p>
        </w:tc>
        <w:tc>
          <w:tcPr>
            <w:tcW w:w="1417" w:type="dxa"/>
            <w:vAlign w:val="center"/>
          </w:tcPr>
          <w:p w14:paraId="5A2C90FD"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AC32893"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16187C75" w14:textId="77777777" w:rsidTr="004C6004">
        <w:trPr>
          <w:trHeight w:val="454"/>
        </w:trPr>
        <w:tc>
          <w:tcPr>
            <w:tcW w:w="1101" w:type="dxa"/>
            <w:vMerge/>
            <w:vAlign w:val="center"/>
          </w:tcPr>
          <w:p w14:paraId="7B4ACC3A" w14:textId="77777777" w:rsidR="0051780C" w:rsidRPr="00552334" w:rsidRDefault="0051780C" w:rsidP="00A573C4">
            <w:pPr>
              <w:pStyle w:val="FSTableText"/>
              <w:rPr>
                <w:lang w:val="en-GB" w:eastAsia="en-AU" w:bidi="ar-SA"/>
              </w:rPr>
            </w:pPr>
          </w:p>
        </w:tc>
        <w:tc>
          <w:tcPr>
            <w:tcW w:w="1416" w:type="dxa"/>
            <w:vAlign w:val="center"/>
          </w:tcPr>
          <w:p w14:paraId="7F89B6B7" w14:textId="77777777" w:rsidR="0051780C" w:rsidRPr="00552334" w:rsidRDefault="0051780C" w:rsidP="00A573C4">
            <w:pPr>
              <w:pStyle w:val="FSTableText"/>
              <w:rPr>
                <w:lang w:val="en-GB" w:eastAsia="en-AU" w:bidi="ar-SA"/>
              </w:rPr>
            </w:pPr>
            <w:r w:rsidRPr="00552334">
              <w:rPr>
                <w:lang w:val="en-GB" w:eastAsia="en-AU" w:bidi="ar-SA"/>
              </w:rPr>
              <w:t>45+ years</w:t>
            </w:r>
          </w:p>
          <w:p w14:paraId="61338F07" w14:textId="77777777" w:rsidR="0051780C" w:rsidRPr="00552334" w:rsidRDefault="0051780C" w:rsidP="00A573C4">
            <w:pPr>
              <w:pStyle w:val="FSTableText"/>
              <w:rPr>
                <w:lang w:val="en-GB" w:eastAsia="en-AU" w:bidi="ar-SA"/>
              </w:rPr>
            </w:pPr>
            <w:r w:rsidRPr="00552334">
              <w:rPr>
                <w:lang w:val="en-GB" w:eastAsia="en-AU" w:bidi="ar-SA"/>
              </w:rPr>
              <w:t>(n=298)</w:t>
            </w:r>
          </w:p>
        </w:tc>
        <w:tc>
          <w:tcPr>
            <w:tcW w:w="1028" w:type="dxa"/>
            <w:vAlign w:val="center"/>
          </w:tcPr>
          <w:p w14:paraId="1202E5D3"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143780CF" w14:textId="77777777" w:rsidR="0051780C" w:rsidRPr="00552334" w:rsidRDefault="0051780C" w:rsidP="00A573C4">
            <w:pPr>
              <w:pStyle w:val="FSTableText"/>
              <w:rPr>
                <w:lang w:val="en-GB" w:eastAsia="en-AU" w:bidi="ar-SA"/>
              </w:rPr>
            </w:pPr>
            <w:r w:rsidRPr="00552334">
              <w:rPr>
                <w:lang w:val="en-GB" w:eastAsia="en-AU" w:bidi="ar-SA"/>
              </w:rPr>
              <w:t>61</w:t>
            </w:r>
          </w:p>
        </w:tc>
        <w:tc>
          <w:tcPr>
            <w:tcW w:w="1028" w:type="dxa"/>
            <w:vAlign w:val="center"/>
          </w:tcPr>
          <w:p w14:paraId="30553EA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1520C2C" w14:textId="77777777" w:rsidR="0051780C" w:rsidRPr="00552334" w:rsidRDefault="0051780C" w:rsidP="00A573C4">
            <w:pPr>
              <w:pStyle w:val="FSTableText"/>
              <w:rPr>
                <w:lang w:val="en-GB" w:eastAsia="en-AU" w:bidi="ar-SA"/>
              </w:rPr>
            </w:pPr>
            <w:r w:rsidRPr="00552334">
              <w:rPr>
                <w:lang w:val="en-GB" w:eastAsia="en-AU" w:bidi="ar-SA"/>
              </w:rPr>
              <w:t>36</w:t>
            </w:r>
          </w:p>
        </w:tc>
        <w:tc>
          <w:tcPr>
            <w:tcW w:w="1417" w:type="dxa"/>
            <w:vAlign w:val="center"/>
          </w:tcPr>
          <w:p w14:paraId="53A9DCF5" w14:textId="77777777" w:rsidR="0051780C" w:rsidRPr="00552334" w:rsidRDefault="0051780C" w:rsidP="00A573C4">
            <w:pPr>
              <w:pStyle w:val="FSTableText"/>
              <w:rPr>
                <w:lang w:val="en-GB" w:eastAsia="en-AU" w:bidi="ar-SA"/>
              </w:rPr>
            </w:pPr>
            <w:r w:rsidRPr="00552334">
              <w:rPr>
                <w:lang w:val="en-GB" w:eastAsia="en-AU" w:bidi="ar-SA"/>
              </w:rPr>
              <w:t>2</w:t>
            </w:r>
          </w:p>
        </w:tc>
        <w:tc>
          <w:tcPr>
            <w:tcW w:w="1240" w:type="dxa"/>
            <w:vAlign w:val="center"/>
          </w:tcPr>
          <w:p w14:paraId="368E8F34" w14:textId="77777777" w:rsidR="0051780C" w:rsidRPr="00552334" w:rsidRDefault="0051780C" w:rsidP="00A573C4">
            <w:pPr>
              <w:pStyle w:val="FSTableText"/>
              <w:rPr>
                <w:lang w:val="en-GB" w:eastAsia="en-AU" w:bidi="ar-SA"/>
              </w:rPr>
            </w:pPr>
            <w:r w:rsidRPr="00552334">
              <w:rPr>
                <w:lang w:val="en-GB" w:eastAsia="en-AU" w:bidi="ar-SA"/>
              </w:rPr>
              <w:t>1</w:t>
            </w:r>
          </w:p>
        </w:tc>
      </w:tr>
      <w:tr w:rsidR="0051780C" w:rsidRPr="00552334" w14:paraId="4BC5794D" w14:textId="77777777" w:rsidTr="004C6004">
        <w:trPr>
          <w:trHeight w:val="454"/>
        </w:trPr>
        <w:tc>
          <w:tcPr>
            <w:tcW w:w="1101" w:type="dxa"/>
            <w:vMerge/>
            <w:vAlign w:val="center"/>
          </w:tcPr>
          <w:p w14:paraId="446B61AE" w14:textId="77777777" w:rsidR="0051780C" w:rsidRPr="00552334" w:rsidRDefault="0051780C" w:rsidP="00A573C4">
            <w:pPr>
              <w:pStyle w:val="FSTableText"/>
              <w:rPr>
                <w:lang w:val="en-GB" w:eastAsia="en-AU" w:bidi="ar-SA"/>
              </w:rPr>
            </w:pPr>
          </w:p>
        </w:tc>
        <w:tc>
          <w:tcPr>
            <w:tcW w:w="1416" w:type="dxa"/>
            <w:vAlign w:val="center"/>
          </w:tcPr>
          <w:p w14:paraId="668F2D7F" w14:textId="77777777" w:rsidR="0051780C" w:rsidRPr="00552334" w:rsidRDefault="0051780C" w:rsidP="00A573C4">
            <w:pPr>
              <w:pStyle w:val="FSTableText"/>
              <w:rPr>
                <w:lang w:val="en-GB" w:eastAsia="en-AU" w:bidi="ar-SA"/>
              </w:rPr>
            </w:pPr>
            <w:r w:rsidRPr="00552334">
              <w:rPr>
                <w:lang w:val="en-GB" w:eastAsia="en-AU" w:bidi="ar-SA"/>
              </w:rPr>
              <w:t xml:space="preserve">All ages </w:t>
            </w:r>
          </w:p>
          <w:p w14:paraId="1DD14073" w14:textId="77777777" w:rsidR="0051780C" w:rsidRPr="00552334" w:rsidRDefault="0051780C" w:rsidP="00A573C4">
            <w:pPr>
              <w:pStyle w:val="FSTableText"/>
              <w:rPr>
                <w:lang w:val="en-GB" w:eastAsia="en-AU" w:bidi="ar-SA"/>
              </w:rPr>
            </w:pPr>
            <w:r w:rsidRPr="00552334">
              <w:rPr>
                <w:lang w:val="en-GB" w:eastAsia="en-AU" w:bidi="ar-SA"/>
              </w:rPr>
              <w:t>(n=422)</w:t>
            </w:r>
          </w:p>
        </w:tc>
        <w:tc>
          <w:tcPr>
            <w:tcW w:w="1028" w:type="dxa"/>
            <w:vAlign w:val="center"/>
          </w:tcPr>
          <w:p w14:paraId="7FA2310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0C409F2F" w14:textId="77777777" w:rsidR="0051780C" w:rsidRPr="00552334" w:rsidRDefault="0051780C" w:rsidP="00A573C4">
            <w:pPr>
              <w:pStyle w:val="FSTableText"/>
              <w:rPr>
                <w:lang w:val="en-GB" w:eastAsia="en-AU" w:bidi="ar-SA"/>
              </w:rPr>
            </w:pPr>
            <w:r w:rsidRPr="00552334">
              <w:rPr>
                <w:lang w:val="en-GB" w:eastAsia="en-AU" w:bidi="ar-SA"/>
              </w:rPr>
              <w:t>57</w:t>
            </w:r>
          </w:p>
        </w:tc>
        <w:tc>
          <w:tcPr>
            <w:tcW w:w="1028" w:type="dxa"/>
            <w:vAlign w:val="center"/>
          </w:tcPr>
          <w:p w14:paraId="26279149"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6FD74BC" w14:textId="77777777" w:rsidR="0051780C" w:rsidRPr="00552334" w:rsidRDefault="0051780C" w:rsidP="00A573C4">
            <w:pPr>
              <w:pStyle w:val="FSTableText"/>
              <w:rPr>
                <w:lang w:val="en-GB" w:eastAsia="en-AU" w:bidi="ar-SA"/>
              </w:rPr>
            </w:pPr>
            <w:r w:rsidRPr="00552334">
              <w:rPr>
                <w:lang w:val="en-GB" w:eastAsia="en-AU" w:bidi="ar-SA"/>
              </w:rPr>
              <w:t>40</w:t>
            </w:r>
          </w:p>
        </w:tc>
        <w:tc>
          <w:tcPr>
            <w:tcW w:w="1417" w:type="dxa"/>
            <w:vAlign w:val="center"/>
          </w:tcPr>
          <w:p w14:paraId="54743A9F" w14:textId="77777777" w:rsidR="0051780C" w:rsidRPr="00552334" w:rsidRDefault="0051780C" w:rsidP="00A573C4">
            <w:pPr>
              <w:pStyle w:val="FSTableText"/>
              <w:rPr>
                <w:lang w:val="en-GB" w:eastAsia="en-AU" w:bidi="ar-SA"/>
              </w:rPr>
            </w:pPr>
            <w:r w:rsidRPr="00552334">
              <w:rPr>
                <w:lang w:val="en-GB" w:eastAsia="en-AU" w:bidi="ar-SA"/>
              </w:rPr>
              <w:t>2</w:t>
            </w:r>
          </w:p>
        </w:tc>
        <w:tc>
          <w:tcPr>
            <w:tcW w:w="1240" w:type="dxa"/>
            <w:vAlign w:val="center"/>
          </w:tcPr>
          <w:p w14:paraId="09F9B5F0" w14:textId="77777777" w:rsidR="0051780C" w:rsidRPr="00552334" w:rsidRDefault="0051780C" w:rsidP="00A573C4">
            <w:pPr>
              <w:pStyle w:val="FSTableText"/>
              <w:rPr>
                <w:lang w:val="en-GB" w:eastAsia="en-AU" w:bidi="ar-SA"/>
              </w:rPr>
            </w:pPr>
            <w:r w:rsidRPr="00552334">
              <w:rPr>
                <w:lang w:val="en-GB" w:eastAsia="en-AU" w:bidi="ar-SA"/>
              </w:rPr>
              <w:t>1</w:t>
            </w:r>
          </w:p>
        </w:tc>
      </w:tr>
      <w:tr w:rsidR="0051780C" w:rsidRPr="00552334" w14:paraId="70050DE6" w14:textId="77777777" w:rsidTr="004C6004">
        <w:trPr>
          <w:trHeight w:val="454"/>
        </w:trPr>
        <w:tc>
          <w:tcPr>
            <w:tcW w:w="1101" w:type="dxa"/>
            <w:vMerge w:val="restart"/>
            <w:vAlign w:val="center"/>
          </w:tcPr>
          <w:p w14:paraId="71CB52E4" w14:textId="77777777" w:rsidR="0051780C" w:rsidRPr="00552334" w:rsidRDefault="0051780C" w:rsidP="00A573C4">
            <w:pPr>
              <w:pStyle w:val="FSTableText"/>
              <w:rPr>
                <w:lang w:val="en-GB" w:eastAsia="en-AU" w:bidi="ar-SA"/>
              </w:rPr>
            </w:pPr>
            <w:r w:rsidRPr="00552334">
              <w:rPr>
                <w:lang w:val="en-GB" w:eastAsia="en-AU" w:bidi="ar-SA"/>
              </w:rPr>
              <w:t>NZ ANS</w:t>
            </w:r>
          </w:p>
          <w:p w14:paraId="2037DF74" w14:textId="77777777" w:rsidR="0051780C" w:rsidRPr="00552334" w:rsidRDefault="0051780C" w:rsidP="00A573C4">
            <w:pPr>
              <w:pStyle w:val="FSTableText"/>
              <w:rPr>
                <w:lang w:val="en-GB" w:eastAsia="en-AU" w:bidi="ar-SA"/>
              </w:rPr>
            </w:pPr>
            <w:r w:rsidRPr="00552334">
              <w:rPr>
                <w:lang w:val="en-GB" w:eastAsia="en-AU" w:bidi="ar-SA"/>
              </w:rPr>
              <w:t>2008</w:t>
            </w:r>
          </w:p>
          <w:p w14:paraId="1A842AE7" w14:textId="77777777" w:rsidR="0051780C" w:rsidRPr="00552334" w:rsidRDefault="0051780C" w:rsidP="00A573C4">
            <w:pPr>
              <w:pStyle w:val="FSTableText"/>
              <w:rPr>
                <w:lang w:val="en-GB" w:eastAsia="en-AU" w:bidi="ar-SA"/>
              </w:rPr>
            </w:pPr>
            <w:r w:rsidRPr="00552334">
              <w:rPr>
                <w:lang w:val="en-GB" w:eastAsia="en-AU" w:bidi="ar-SA"/>
              </w:rPr>
              <w:t>(Day 1)</w:t>
            </w:r>
          </w:p>
        </w:tc>
        <w:tc>
          <w:tcPr>
            <w:tcW w:w="1416" w:type="dxa"/>
            <w:vAlign w:val="center"/>
          </w:tcPr>
          <w:p w14:paraId="5B6E9783" w14:textId="05FBCAFC" w:rsidR="0051780C" w:rsidRPr="00E10D8F" w:rsidRDefault="0051780C" w:rsidP="00A573C4">
            <w:pPr>
              <w:pStyle w:val="FSTableText"/>
              <w:rPr>
                <w:lang w:val="en-GB" w:eastAsia="en-AU" w:bidi="ar-SA"/>
              </w:rPr>
            </w:pPr>
            <w:r w:rsidRPr="00552334">
              <w:rPr>
                <w:lang w:val="en-GB" w:eastAsia="en-AU" w:bidi="ar-SA"/>
              </w:rPr>
              <w:t>15</w:t>
            </w:r>
            <w:r w:rsidR="004C6004">
              <w:rPr>
                <w:lang w:val="en-GB" w:eastAsia="en-AU" w:bidi="ar-SA"/>
              </w:rPr>
              <w:t>–</w:t>
            </w:r>
            <w:r w:rsidRPr="00552334">
              <w:rPr>
                <w:lang w:val="en-GB" w:eastAsia="en-AU" w:bidi="ar-SA"/>
              </w:rPr>
              <w:t>17 years</w:t>
            </w:r>
          </w:p>
          <w:p w14:paraId="3CB77440" w14:textId="77777777" w:rsidR="0051780C" w:rsidRPr="00552334" w:rsidRDefault="0051780C" w:rsidP="00A573C4">
            <w:pPr>
              <w:pStyle w:val="FSTableText"/>
              <w:rPr>
                <w:lang w:val="en-GB" w:eastAsia="en-AU" w:bidi="ar-SA"/>
              </w:rPr>
            </w:pPr>
            <w:r w:rsidRPr="00552334">
              <w:rPr>
                <w:lang w:val="en-GB" w:eastAsia="en-AU" w:bidi="ar-SA"/>
              </w:rPr>
              <w:t>(n=4)</w:t>
            </w:r>
          </w:p>
        </w:tc>
        <w:tc>
          <w:tcPr>
            <w:tcW w:w="1028" w:type="dxa"/>
            <w:vAlign w:val="center"/>
          </w:tcPr>
          <w:p w14:paraId="64F39829" w14:textId="77777777" w:rsidR="0051780C" w:rsidRPr="00552334" w:rsidRDefault="0051780C" w:rsidP="00A573C4">
            <w:pPr>
              <w:pStyle w:val="FSTableText"/>
              <w:rPr>
                <w:lang w:val="en-GB" w:eastAsia="en-AU" w:bidi="ar-SA"/>
              </w:rPr>
            </w:pPr>
            <w:r w:rsidRPr="00552334">
              <w:rPr>
                <w:lang w:val="en-GB" w:eastAsia="en-AU" w:bidi="ar-SA"/>
              </w:rPr>
              <w:t>8.5</w:t>
            </w:r>
          </w:p>
        </w:tc>
        <w:tc>
          <w:tcPr>
            <w:tcW w:w="1028" w:type="dxa"/>
            <w:vAlign w:val="center"/>
          </w:tcPr>
          <w:p w14:paraId="70213FB9"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46968C73" w14:textId="77777777" w:rsidR="0051780C" w:rsidRPr="00552334" w:rsidRDefault="0051780C" w:rsidP="00A573C4">
            <w:pPr>
              <w:pStyle w:val="FSTableText"/>
              <w:rPr>
                <w:lang w:val="en-GB" w:eastAsia="en-AU" w:bidi="ar-SA"/>
              </w:rPr>
            </w:pPr>
            <w:r w:rsidRPr="00552334">
              <w:rPr>
                <w:lang w:val="en-GB" w:eastAsia="en-AU" w:bidi="ar-SA"/>
              </w:rPr>
              <w:t>91</w:t>
            </w:r>
          </w:p>
        </w:tc>
        <w:tc>
          <w:tcPr>
            <w:tcW w:w="1028" w:type="dxa"/>
            <w:vAlign w:val="center"/>
          </w:tcPr>
          <w:p w14:paraId="1896F55E"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724FC59A"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795C9675"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654F3D23" w14:textId="77777777" w:rsidTr="004C6004">
        <w:trPr>
          <w:trHeight w:val="454"/>
        </w:trPr>
        <w:tc>
          <w:tcPr>
            <w:tcW w:w="1101" w:type="dxa"/>
            <w:vMerge/>
            <w:vAlign w:val="center"/>
          </w:tcPr>
          <w:p w14:paraId="0CF31317" w14:textId="77777777" w:rsidR="0051780C" w:rsidRPr="00552334" w:rsidRDefault="0051780C" w:rsidP="00A573C4">
            <w:pPr>
              <w:pStyle w:val="FSTableText"/>
              <w:rPr>
                <w:lang w:val="en-GB" w:eastAsia="en-AU" w:bidi="ar-SA"/>
              </w:rPr>
            </w:pPr>
          </w:p>
        </w:tc>
        <w:tc>
          <w:tcPr>
            <w:tcW w:w="1416" w:type="dxa"/>
            <w:vAlign w:val="center"/>
          </w:tcPr>
          <w:p w14:paraId="6430076F" w14:textId="0C19ED81" w:rsidR="0051780C" w:rsidRPr="00552334" w:rsidRDefault="0051780C" w:rsidP="00A573C4">
            <w:pPr>
              <w:pStyle w:val="FSTableText"/>
              <w:rPr>
                <w:lang w:val="en-GB" w:eastAsia="en-AU" w:bidi="ar-SA"/>
              </w:rPr>
            </w:pPr>
            <w:r w:rsidRPr="00552334">
              <w:rPr>
                <w:lang w:val="en-GB" w:eastAsia="en-AU" w:bidi="ar-SA"/>
              </w:rPr>
              <w:t>18</w:t>
            </w:r>
            <w:r w:rsidR="004C6004">
              <w:rPr>
                <w:lang w:val="en-GB" w:eastAsia="en-AU" w:bidi="ar-SA"/>
              </w:rPr>
              <w:t>–</w:t>
            </w:r>
            <w:r w:rsidRPr="00552334">
              <w:rPr>
                <w:lang w:val="en-GB" w:eastAsia="en-AU" w:bidi="ar-SA"/>
              </w:rPr>
              <w:t>44 years</w:t>
            </w:r>
          </w:p>
          <w:p w14:paraId="219A225D" w14:textId="77777777" w:rsidR="0051780C" w:rsidRPr="00552334" w:rsidRDefault="0051780C" w:rsidP="00A573C4">
            <w:pPr>
              <w:pStyle w:val="FSTableText"/>
              <w:rPr>
                <w:lang w:val="en-GB" w:eastAsia="en-AU" w:bidi="ar-SA"/>
              </w:rPr>
            </w:pPr>
            <w:r w:rsidRPr="00552334">
              <w:rPr>
                <w:lang w:val="en-GB" w:eastAsia="en-AU" w:bidi="ar-SA"/>
              </w:rPr>
              <w:t>(n=51)</w:t>
            </w:r>
          </w:p>
        </w:tc>
        <w:tc>
          <w:tcPr>
            <w:tcW w:w="1028" w:type="dxa"/>
            <w:vAlign w:val="center"/>
          </w:tcPr>
          <w:p w14:paraId="312518FC" w14:textId="77777777" w:rsidR="0051780C" w:rsidRPr="00552334" w:rsidRDefault="0051780C" w:rsidP="00A573C4">
            <w:pPr>
              <w:pStyle w:val="FSTableText"/>
              <w:rPr>
                <w:lang w:val="en-GB" w:eastAsia="en-AU" w:bidi="ar-SA"/>
              </w:rPr>
            </w:pPr>
            <w:r w:rsidRPr="00552334">
              <w:rPr>
                <w:lang w:val="en-GB" w:eastAsia="en-AU" w:bidi="ar-SA"/>
              </w:rPr>
              <w:t>24</w:t>
            </w:r>
          </w:p>
        </w:tc>
        <w:tc>
          <w:tcPr>
            <w:tcW w:w="1028" w:type="dxa"/>
            <w:vAlign w:val="center"/>
          </w:tcPr>
          <w:p w14:paraId="773C5528"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609BE906" w14:textId="77777777" w:rsidR="0051780C" w:rsidRPr="00552334" w:rsidRDefault="0051780C" w:rsidP="00A573C4">
            <w:pPr>
              <w:pStyle w:val="FSTableText"/>
              <w:rPr>
                <w:lang w:val="en-GB" w:eastAsia="en-AU" w:bidi="ar-SA"/>
              </w:rPr>
            </w:pPr>
            <w:r w:rsidRPr="00552334">
              <w:rPr>
                <w:lang w:val="en-GB" w:eastAsia="en-AU" w:bidi="ar-SA"/>
              </w:rPr>
              <w:t>65</w:t>
            </w:r>
          </w:p>
        </w:tc>
        <w:tc>
          <w:tcPr>
            <w:tcW w:w="1028" w:type="dxa"/>
            <w:vAlign w:val="center"/>
          </w:tcPr>
          <w:p w14:paraId="58477102" w14:textId="77777777" w:rsidR="0051780C" w:rsidRPr="00552334" w:rsidRDefault="0051780C" w:rsidP="00A573C4">
            <w:pPr>
              <w:pStyle w:val="FSTableText"/>
              <w:rPr>
                <w:lang w:val="en-GB" w:eastAsia="en-AU" w:bidi="ar-SA"/>
              </w:rPr>
            </w:pPr>
            <w:r w:rsidRPr="00552334">
              <w:rPr>
                <w:lang w:val="en-GB" w:eastAsia="en-AU" w:bidi="ar-SA"/>
              </w:rPr>
              <w:t>11</w:t>
            </w:r>
          </w:p>
        </w:tc>
        <w:tc>
          <w:tcPr>
            <w:tcW w:w="1417" w:type="dxa"/>
            <w:vAlign w:val="center"/>
          </w:tcPr>
          <w:p w14:paraId="47C72DCC"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3F34BD4E"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03183D1D" w14:textId="77777777" w:rsidTr="004C6004">
        <w:trPr>
          <w:trHeight w:val="454"/>
        </w:trPr>
        <w:tc>
          <w:tcPr>
            <w:tcW w:w="1101" w:type="dxa"/>
            <w:vMerge/>
            <w:vAlign w:val="center"/>
          </w:tcPr>
          <w:p w14:paraId="2BE965D2" w14:textId="77777777" w:rsidR="0051780C" w:rsidRPr="00552334" w:rsidRDefault="0051780C" w:rsidP="00A573C4">
            <w:pPr>
              <w:pStyle w:val="FSTableText"/>
              <w:rPr>
                <w:lang w:val="en-GB" w:eastAsia="en-AU" w:bidi="ar-SA"/>
              </w:rPr>
            </w:pPr>
          </w:p>
        </w:tc>
        <w:tc>
          <w:tcPr>
            <w:tcW w:w="1416" w:type="dxa"/>
            <w:vAlign w:val="center"/>
          </w:tcPr>
          <w:p w14:paraId="33F3F7AA" w14:textId="77777777" w:rsidR="0051780C" w:rsidRPr="00552334" w:rsidRDefault="0051780C" w:rsidP="00A573C4">
            <w:pPr>
              <w:pStyle w:val="FSTableText"/>
              <w:rPr>
                <w:lang w:val="en-GB" w:eastAsia="en-AU" w:bidi="ar-SA"/>
              </w:rPr>
            </w:pPr>
            <w:r w:rsidRPr="00552334">
              <w:rPr>
                <w:lang w:val="en-GB" w:eastAsia="en-AU" w:bidi="ar-SA"/>
              </w:rPr>
              <w:t>45+ years</w:t>
            </w:r>
          </w:p>
          <w:p w14:paraId="31710E73" w14:textId="77777777" w:rsidR="0051780C" w:rsidRPr="00552334" w:rsidRDefault="0051780C" w:rsidP="00A573C4">
            <w:pPr>
              <w:pStyle w:val="FSTableText"/>
              <w:rPr>
                <w:lang w:val="en-GB" w:eastAsia="en-AU" w:bidi="ar-SA"/>
              </w:rPr>
            </w:pPr>
            <w:r w:rsidRPr="00552334">
              <w:rPr>
                <w:lang w:val="en-GB" w:eastAsia="en-AU" w:bidi="ar-SA"/>
              </w:rPr>
              <w:t>(n=167)</w:t>
            </w:r>
          </w:p>
        </w:tc>
        <w:tc>
          <w:tcPr>
            <w:tcW w:w="1028" w:type="dxa"/>
            <w:vAlign w:val="center"/>
          </w:tcPr>
          <w:p w14:paraId="59441583" w14:textId="77777777" w:rsidR="0051780C" w:rsidRPr="00552334" w:rsidRDefault="0051780C" w:rsidP="00A573C4">
            <w:pPr>
              <w:pStyle w:val="FSTableText"/>
              <w:rPr>
                <w:lang w:val="en-GB" w:eastAsia="en-AU" w:bidi="ar-SA"/>
              </w:rPr>
            </w:pPr>
            <w:r w:rsidRPr="00552334">
              <w:rPr>
                <w:lang w:val="en-GB" w:eastAsia="en-AU" w:bidi="ar-SA"/>
              </w:rPr>
              <w:t>33</w:t>
            </w:r>
          </w:p>
        </w:tc>
        <w:tc>
          <w:tcPr>
            <w:tcW w:w="1028" w:type="dxa"/>
            <w:vAlign w:val="center"/>
          </w:tcPr>
          <w:p w14:paraId="23FA2439"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4E4C6C2F" w14:textId="77777777" w:rsidR="0051780C" w:rsidRPr="00552334" w:rsidRDefault="0051780C" w:rsidP="00A573C4">
            <w:pPr>
              <w:pStyle w:val="FSTableText"/>
              <w:rPr>
                <w:lang w:val="en-GB" w:eastAsia="en-AU" w:bidi="ar-SA"/>
              </w:rPr>
            </w:pPr>
            <w:r w:rsidRPr="00552334">
              <w:rPr>
                <w:lang w:val="en-GB" w:eastAsia="en-AU" w:bidi="ar-SA"/>
              </w:rPr>
              <w:t>57</w:t>
            </w:r>
          </w:p>
        </w:tc>
        <w:tc>
          <w:tcPr>
            <w:tcW w:w="1028" w:type="dxa"/>
            <w:vAlign w:val="center"/>
          </w:tcPr>
          <w:p w14:paraId="64DF19DE" w14:textId="77777777" w:rsidR="0051780C" w:rsidRPr="00552334" w:rsidRDefault="0051780C" w:rsidP="00A573C4">
            <w:pPr>
              <w:pStyle w:val="FSTableText"/>
              <w:rPr>
                <w:lang w:val="en-GB" w:eastAsia="en-AU" w:bidi="ar-SA"/>
              </w:rPr>
            </w:pPr>
            <w:r w:rsidRPr="00552334">
              <w:rPr>
                <w:lang w:val="en-GB" w:eastAsia="en-AU" w:bidi="ar-SA"/>
              </w:rPr>
              <w:t>10</w:t>
            </w:r>
          </w:p>
        </w:tc>
        <w:tc>
          <w:tcPr>
            <w:tcW w:w="1417" w:type="dxa"/>
            <w:vAlign w:val="center"/>
          </w:tcPr>
          <w:p w14:paraId="5DF04ED6"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670D44E0"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00815BA4" w14:textId="77777777" w:rsidTr="004C6004">
        <w:trPr>
          <w:trHeight w:val="454"/>
        </w:trPr>
        <w:tc>
          <w:tcPr>
            <w:tcW w:w="1101" w:type="dxa"/>
            <w:vMerge/>
            <w:vAlign w:val="center"/>
          </w:tcPr>
          <w:p w14:paraId="53ED3F0D" w14:textId="77777777" w:rsidR="0051780C" w:rsidRPr="00552334" w:rsidRDefault="0051780C" w:rsidP="00A573C4">
            <w:pPr>
              <w:pStyle w:val="FSTableText"/>
              <w:rPr>
                <w:lang w:val="en-GB" w:eastAsia="en-AU" w:bidi="ar-SA"/>
              </w:rPr>
            </w:pPr>
          </w:p>
        </w:tc>
        <w:tc>
          <w:tcPr>
            <w:tcW w:w="1416" w:type="dxa"/>
            <w:vAlign w:val="center"/>
          </w:tcPr>
          <w:p w14:paraId="4F98B46F" w14:textId="77777777" w:rsidR="0051780C" w:rsidRPr="00552334" w:rsidRDefault="0051780C" w:rsidP="00A573C4">
            <w:pPr>
              <w:pStyle w:val="FSTableText"/>
              <w:rPr>
                <w:lang w:val="en-GB" w:eastAsia="en-AU" w:bidi="ar-SA"/>
              </w:rPr>
            </w:pPr>
            <w:r w:rsidRPr="00552334">
              <w:rPr>
                <w:lang w:val="en-GB" w:eastAsia="en-AU" w:bidi="ar-SA"/>
              </w:rPr>
              <w:t>All ages (n=223)</w:t>
            </w:r>
          </w:p>
        </w:tc>
        <w:tc>
          <w:tcPr>
            <w:tcW w:w="1028" w:type="dxa"/>
            <w:vAlign w:val="center"/>
          </w:tcPr>
          <w:p w14:paraId="304EE795" w14:textId="77777777" w:rsidR="0051780C" w:rsidRPr="00552334" w:rsidRDefault="0051780C" w:rsidP="00A573C4">
            <w:pPr>
              <w:pStyle w:val="FSTableText"/>
              <w:rPr>
                <w:lang w:val="en-GB" w:eastAsia="en-AU" w:bidi="ar-SA"/>
              </w:rPr>
            </w:pPr>
            <w:r w:rsidRPr="00552334">
              <w:rPr>
                <w:lang w:val="en-GB" w:eastAsia="en-AU" w:bidi="ar-SA"/>
              </w:rPr>
              <w:t>31</w:t>
            </w:r>
          </w:p>
        </w:tc>
        <w:tc>
          <w:tcPr>
            <w:tcW w:w="1028" w:type="dxa"/>
            <w:vAlign w:val="center"/>
          </w:tcPr>
          <w:p w14:paraId="5E171020"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35D28307" w14:textId="77777777" w:rsidR="0051780C" w:rsidRPr="00552334" w:rsidRDefault="0051780C" w:rsidP="00A573C4">
            <w:pPr>
              <w:pStyle w:val="FSTableText"/>
              <w:rPr>
                <w:lang w:val="en-GB" w:eastAsia="en-AU" w:bidi="ar-SA"/>
              </w:rPr>
            </w:pPr>
            <w:r w:rsidRPr="00552334">
              <w:rPr>
                <w:lang w:val="en-GB" w:eastAsia="en-AU" w:bidi="ar-SA"/>
              </w:rPr>
              <w:t>59</w:t>
            </w:r>
          </w:p>
        </w:tc>
        <w:tc>
          <w:tcPr>
            <w:tcW w:w="1028" w:type="dxa"/>
            <w:vAlign w:val="center"/>
          </w:tcPr>
          <w:p w14:paraId="67F9707E" w14:textId="77777777" w:rsidR="0051780C" w:rsidRPr="00552334" w:rsidRDefault="0051780C" w:rsidP="00A573C4">
            <w:pPr>
              <w:pStyle w:val="FSTableText"/>
              <w:rPr>
                <w:lang w:val="en-GB" w:eastAsia="en-AU" w:bidi="ar-SA"/>
              </w:rPr>
            </w:pPr>
            <w:r w:rsidRPr="00552334">
              <w:rPr>
                <w:lang w:val="en-GB" w:eastAsia="en-AU" w:bidi="ar-SA"/>
              </w:rPr>
              <w:t>10</w:t>
            </w:r>
          </w:p>
        </w:tc>
        <w:tc>
          <w:tcPr>
            <w:tcW w:w="1417" w:type="dxa"/>
            <w:vAlign w:val="center"/>
          </w:tcPr>
          <w:p w14:paraId="675D8084"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091833A1"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6F4A0B31" w14:textId="77777777" w:rsidTr="004C6004">
        <w:trPr>
          <w:trHeight w:val="454"/>
        </w:trPr>
        <w:tc>
          <w:tcPr>
            <w:tcW w:w="1101" w:type="dxa"/>
            <w:vMerge w:val="restart"/>
            <w:vAlign w:val="center"/>
          </w:tcPr>
          <w:p w14:paraId="7DA5663C" w14:textId="77777777" w:rsidR="0051780C" w:rsidRPr="00552334" w:rsidRDefault="0051780C" w:rsidP="00A573C4">
            <w:pPr>
              <w:pStyle w:val="FSTableText"/>
              <w:rPr>
                <w:lang w:val="en-GB" w:eastAsia="en-AU" w:bidi="ar-SA"/>
              </w:rPr>
            </w:pPr>
            <w:r w:rsidRPr="00552334">
              <w:rPr>
                <w:lang w:val="en-GB" w:eastAsia="en-AU" w:bidi="ar-SA"/>
              </w:rPr>
              <w:t>NZ NCNS</w:t>
            </w:r>
          </w:p>
          <w:p w14:paraId="4D500CD3" w14:textId="77777777" w:rsidR="0051780C" w:rsidRPr="00552334" w:rsidRDefault="0051780C" w:rsidP="00A573C4">
            <w:pPr>
              <w:pStyle w:val="FSTableText"/>
              <w:rPr>
                <w:lang w:val="en-GB" w:eastAsia="en-AU" w:bidi="ar-SA"/>
              </w:rPr>
            </w:pPr>
            <w:r w:rsidRPr="00552334">
              <w:rPr>
                <w:lang w:val="en-GB" w:eastAsia="en-AU" w:bidi="ar-SA"/>
              </w:rPr>
              <w:t>2002</w:t>
            </w:r>
          </w:p>
          <w:p w14:paraId="1308D7CB" w14:textId="77777777" w:rsidR="0051780C" w:rsidRPr="00552334" w:rsidRDefault="0051780C" w:rsidP="00A573C4">
            <w:pPr>
              <w:pStyle w:val="FSTableText"/>
              <w:rPr>
                <w:lang w:val="en-GB" w:eastAsia="en-AU" w:bidi="ar-SA"/>
              </w:rPr>
            </w:pPr>
            <w:r w:rsidRPr="00552334">
              <w:rPr>
                <w:lang w:val="en-GB" w:eastAsia="en-AU" w:bidi="ar-SA"/>
              </w:rPr>
              <w:t>(Day 1)</w:t>
            </w:r>
          </w:p>
        </w:tc>
        <w:tc>
          <w:tcPr>
            <w:tcW w:w="1416" w:type="dxa"/>
            <w:vAlign w:val="center"/>
          </w:tcPr>
          <w:p w14:paraId="554B31C1" w14:textId="76B8F3A0" w:rsidR="0051780C" w:rsidRPr="00E10D8F" w:rsidRDefault="0051780C" w:rsidP="00A573C4">
            <w:pPr>
              <w:pStyle w:val="FSTableText"/>
              <w:rPr>
                <w:lang w:val="en-GB" w:eastAsia="en-AU" w:bidi="ar-SA"/>
              </w:rPr>
            </w:pPr>
            <w:r w:rsidRPr="00552334">
              <w:rPr>
                <w:lang w:val="en-GB" w:eastAsia="en-AU" w:bidi="ar-SA"/>
              </w:rPr>
              <w:t>5</w:t>
            </w:r>
            <w:r w:rsidR="004C6004">
              <w:rPr>
                <w:lang w:val="en-GB" w:eastAsia="en-AU" w:bidi="ar-SA"/>
              </w:rPr>
              <w:t>–</w:t>
            </w:r>
            <w:r w:rsidRPr="00552334">
              <w:rPr>
                <w:lang w:val="en-GB" w:eastAsia="en-AU" w:bidi="ar-SA"/>
              </w:rPr>
              <w:t>12 years</w:t>
            </w:r>
          </w:p>
          <w:p w14:paraId="40C09CFE" w14:textId="77777777" w:rsidR="0051780C" w:rsidRPr="00552334" w:rsidRDefault="0051780C" w:rsidP="00A573C4">
            <w:pPr>
              <w:pStyle w:val="FSTableText"/>
              <w:rPr>
                <w:lang w:val="en-GB" w:eastAsia="en-AU" w:bidi="ar-SA"/>
              </w:rPr>
            </w:pPr>
            <w:r w:rsidRPr="00552334">
              <w:rPr>
                <w:lang w:val="en-GB" w:eastAsia="en-AU" w:bidi="ar-SA"/>
              </w:rPr>
              <w:t>(n=5)</w:t>
            </w:r>
          </w:p>
        </w:tc>
        <w:tc>
          <w:tcPr>
            <w:tcW w:w="1028" w:type="dxa"/>
            <w:vAlign w:val="center"/>
          </w:tcPr>
          <w:p w14:paraId="38539AFC" w14:textId="77777777" w:rsidR="0051780C" w:rsidRPr="00552334" w:rsidRDefault="0051780C" w:rsidP="00A573C4">
            <w:pPr>
              <w:pStyle w:val="FSTableText"/>
              <w:rPr>
                <w:lang w:val="en-GB" w:eastAsia="en-AU" w:bidi="ar-SA"/>
              </w:rPr>
            </w:pPr>
            <w:r w:rsidRPr="00552334">
              <w:rPr>
                <w:lang w:val="en-GB" w:eastAsia="en-AU" w:bidi="ar-SA"/>
              </w:rPr>
              <w:t>88</w:t>
            </w:r>
          </w:p>
        </w:tc>
        <w:tc>
          <w:tcPr>
            <w:tcW w:w="1028" w:type="dxa"/>
            <w:vAlign w:val="center"/>
          </w:tcPr>
          <w:p w14:paraId="7A6D7FCC"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55CCB589" w14:textId="77777777" w:rsidR="0051780C" w:rsidRPr="00552334" w:rsidRDefault="0051780C" w:rsidP="00A573C4">
            <w:pPr>
              <w:pStyle w:val="FSTableText"/>
              <w:rPr>
                <w:lang w:val="en-GB" w:eastAsia="en-AU" w:bidi="ar-SA"/>
              </w:rPr>
            </w:pPr>
            <w:r w:rsidRPr="00552334">
              <w:rPr>
                <w:lang w:val="en-GB" w:eastAsia="en-AU" w:bidi="ar-SA"/>
              </w:rPr>
              <w:t>12</w:t>
            </w:r>
          </w:p>
        </w:tc>
        <w:tc>
          <w:tcPr>
            <w:tcW w:w="1028" w:type="dxa"/>
            <w:vAlign w:val="center"/>
          </w:tcPr>
          <w:p w14:paraId="295D2F59"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76EE365B"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2BA836C6"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00942E89" w14:textId="77777777" w:rsidTr="004C6004">
        <w:trPr>
          <w:trHeight w:val="454"/>
        </w:trPr>
        <w:tc>
          <w:tcPr>
            <w:tcW w:w="1101" w:type="dxa"/>
            <w:vMerge/>
            <w:vAlign w:val="center"/>
          </w:tcPr>
          <w:p w14:paraId="069C38A9" w14:textId="77777777" w:rsidR="0051780C" w:rsidRPr="00552334" w:rsidRDefault="0051780C" w:rsidP="00A573C4">
            <w:pPr>
              <w:pStyle w:val="FSTableText"/>
              <w:rPr>
                <w:lang w:val="en-GB" w:eastAsia="en-AU" w:bidi="ar-SA"/>
              </w:rPr>
            </w:pPr>
          </w:p>
        </w:tc>
        <w:tc>
          <w:tcPr>
            <w:tcW w:w="1416" w:type="dxa"/>
            <w:vAlign w:val="center"/>
          </w:tcPr>
          <w:p w14:paraId="3236676A" w14:textId="1042AA96" w:rsidR="0051780C" w:rsidRPr="00552334" w:rsidRDefault="0051780C" w:rsidP="00A573C4">
            <w:pPr>
              <w:pStyle w:val="FSTableText"/>
              <w:rPr>
                <w:lang w:val="en-GB" w:eastAsia="en-AU" w:bidi="ar-SA"/>
              </w:rPr>
            </w:pPr>
            <w:r w:rsidRPr="00552334">
              <w:rPr>
                <w:lang w:val="en-GB" w:eastAsia="en-AU" w:bidi="ar-SA"/>
              </w:rPr>
              <w:t>13</w:t>
            </w:r>
            <w:r w:rsidR="004C6004">
              <w:rPr>
                <w:lang w:val="en-GB" w:eastAsia="en-AU" w:bidi="ar-SA"/>
              </w:rPr>
              <w:t>–</w:t>
            </w:r>
            <w:r w:rsidRPr="00552334">
              <w:rPr>
                <w:lang w:val="en-GB" w:eastAsia="en-AU" w:bidi="ar-SA"/>
              </w:rPr>
              <w:t>14 years</w:t>
            </w:r>
          </w:p>
          <w:p w14:paraId="6C2A13F0" w14:textId="77777777" w:rsidR="0051780C" w:rsidRPr="00552334" w:rsidRDefault="0051780C" w:rsidP="00A573C4">
            <w:pPr>
              <w:pStyle w:val="FSTableText"/>
              <w:rPr>
                <w:lang w:val="en-GB" w:eastAsia="en-AU" w:bidi="ar-SA"/>
              </w:rPr>
            </w:pPr>
            <w:r w:rsidRPr="00552334">
              <w:rPr>
                <w:lang w:val="en-GB" w:eastAsia="en-AU" w:bidi="ar-SA"/>
              </w:rPr>
              <w:t>(n=2)</w:t>
            </w:r>
          </w:p>
        </w:tc>
        <w:tc>
          <w:tcPr>
            <w:tcW w:w="1028" w:type="dxa"/>
            <w:vAlign w:val="center"/>
          </w:tcPr>
          <w:p w14:paraId="254BD480" w14:textId="77777777" w:rsidR="0051780C" w:rsidRPr="00552334" w:rsidRDefault="0051780C" w:rsidP="00A573C4">
            <w:pPr>
              <w:pStyle w:val="FSTableText"/>
              <w:rPr>
                <w:lang w:val="en-GB" w:eastAsia="en-AU" w:bidi="ar-SA"/>
              </w:rPr>
            </w:pPr>
            <w:r w:rsidRPr="00552334">
              <w:rPr>
                <w:lang w:val="en-GB" w:eastAsia="en-AU" w:bidi="ar-SA"/>
              </w:rPr>
              <w:t>100</w:t>
            </w:r>
          </w:p>
        </w:tc>
        <w:tc>
          <w:tcPr>
            <w:tcW w:w="1028" w:type="dxa"/>
            <w:vAlign w:val="center"/>
          </w:tcPr>
          <w:p w14:paraId="69240525"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25E643B2"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0DBFC2AF"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109C5DD6"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59C89F4D" w14:textId="77777777" w:rsidR="0051780C" w:rsidRPr="00552334" w:rsidRDefault="0051780C" w:rsidP="00A573C4">
            <w:pPr>
              <w:pStyle w:val="FSTableText"/>
              <w:rPr>
                <w:lang w:val="en-GB" w:eastAsia="en-AU" w:bidi="ar-SA"/>
              </w:rPr>
            </w:pPr>
            <w:r w:rsidRPr="00552334">
              <w:rPr>
                <w:lang w:val="en-GB" w:eastAsia="en-AU" w:bidi="ar-SA"/>
              </w:rPr>
              <w:t>0</w:t>
            </w:r>
          </w:p>
        </w:tc>
      </w:tr>
      <w:tr w:rsidR="0051780C" w:rsidRPr="00552334" w14:paraId="1E81B7A6" w14:textId="77777777" w:rsidTr="004C6004">
        <w:trPr>
          <w:trHeight w:val="454"/>
        </w:trPr>
        <w:tc>
          <w:tcPr>
            <w:tcW w:w="1101" w:type="dxa"/>
            <w:vMerge/>
            <w:vAlign w:val="center"/>
          </w:tcPr>
          <w:p w14:paraId="4FC9DDEA" w14:textId="77777777" w:rsidR="0051780C" w:rsidRPr="00552334" w:rsidRDefault="0051780C" w:rsidP="00A573C4">
            <w:pPr>
              <w:pStyle w:val="FSTableText"/>
              <w:rPr>
                <w:lang w:val="en-GB" w:eastAsia="en-AU" w:bidi="ar-SA"/>
              </w:rPr>
            </w:pPr>
          </w:p>
        </w:tc>
        <w:tc>
          <w:tcPr>
            <w:tcW w:w="1416" w:type="dxa"/>
            <w:vAlign w:val="center"/>
          </w:tcPr>
          <w:p w14:paraId="0E5330EE" w14:textId="77777777" w:rsidR="0051780C" w:rsidRPr="00552334" w:rsidRDefault="0051780C" w:rsidP="00A573C4">
            <w:pPr>
              <w:pStyle w:val="FSTableText"/>
              <w:rPr>
                <w:lang w:val="en-GB" w:eastAsia="en-AU" w:bidi="ar-SA"/>
              </w:rPr>
            </w:pPr>
            <w:r w:rsidRPr="00552334">
              <w:rPr>
                <w:lang w:val="en-GB" w:eastAsia="en-AU" w:bidi="ar-SA"/>
              </w:rPr>
              <w:t>All ages</w:t>
            </w:r>
          </w:p>
          <w:p w14:paraId="2888CE03" w14:textId="77777777" w:rsidR="0051780C" w:rsidRPr="00552334" w:rsidRDefault="0051780C" w:rsidP="00A573C4">
            <w:pPr>
              <w:pStyle w:val="FSTableText"/>
              <w:rPr>
                <w:lang w:val="en-GB" w:eastAsia="en-AU" w:bidi="ar-SA"/>
              </w:rPr>
            </w:pPr>
            <w:r w:rsidRPr="00552334">
              <w:rPr>
                <w:lang w:val="en-GB" w:eastAsia="en-AU" w:bidi="ar-SA"/>
              </w:rPr>
              <w:t>(n=7)</w:t>
            </w:r>
          </w:p>
        </w:tc>
        <w:tc>
          <w:tcPr>
            <w:tcW w:w="1028" w:type="dxa"/>
            <w:vAlign w:val="center"/>
          </w:tcPr>
          <w:p w14:paraId="235421BB" w14:textId="77777777" w:rsidR="0051780C" w:rsidRPr="00552334" w:rsidRDefault="0051780C" w:rsidP="00A573C4">
            <w:pPr>
              <w:pStyle w:val="FSTableText"/>
              <w:rPr>
                <w:lang w:val="en-GB" w:eastAsia="en-AU" w:bidi="ar-SA"/>
              </w:rPr>
            </w:pPr>
            <w:r w:rsidRPr="00552334">
              <w:rPr>
                <w:lang w:val="en-GB" w:eastAsia="en-AU" w:bidi="ar-SA"/>
              </w:rPr>
              <w:t>95</w:t>
            </w:r>
          </w:p>
        </w:tc>
        <w:tc>
          <w:tcPr>
            <w:tcW w:w="1028" w:type="dxa"/>
            <w:vAlign w:val="center"/>
          </w:tcPr>
          <w:p w14:paraId="6D9ED833" w14:textId="77777777" w:rsidR="0051780C" w:rsidRPr="00552334" w:rsidRDefault="0051780C" w:rsidP="00A573C4">
            <w:pPr>
              <w:pStyle w:val="FSTableText"/>
              <w:rPr>
                <w:lang w:val="en-GB" w:eastAsia="en-AU" w:bidi="ar-SA"/>
              </w:rPr>
            </w:pPr>
            <w:r w:rsidRPr="00552334">
              <w:rPr>
                <w:lang w:val="en-GB" w:eastAsia="en-AU" w:bidi="ar-SA"/>
              </w:rPr>
              <w:t>0</w:t>
            </w:r>
          </w:p>
        </w:tc>
        <w:tc>
          <w:tcPr>
            <w:tcW w:w="1028" w:type="dxa"/>
            <w:vAlign w:val="center"/>
          </w:tcPr>
          <w:p w14:paraId="01D9117F" w14:textId="77777777" w:rsidR="0051780C" w:rsidRPr="00552334" w:rsidRDefault="0051780C" w:rsidP="00A573C4">
            <w:pPr>
              <w:pStyle w:val="FSTableText"/>
              <w:rPr>
                <w:lang w:val="en-GB" w:eastAsia="en-AU" w:bidi="ar-SA"/>
              </w:rPr>
            </w:pPr>
            <w:r w:rsidRPr="00552334">
              <w:rPr>
                <w:lang w:val="en-GB" w:eastAsia="en-AU" w:bidi="ar-SA"/>
              </w:rPr>
              <w:t>5</w:t>
            </w:r>
          </w:p>
        </w:tc>
        <w:tc>
          <w:tcPr>
            <w:tcW w:w="1028" w:type="dxa"/>
            <w:vAlign w:val="center"/>
          </w:tcPr>
          <w:p w14:paraId="7F80D713" w14:textId="77777777" w:rsidR="0051780C" w:rsidRPr="00552334" w:rsidRDefault="0051780C" w:rsidP="00A573C4">
            <w:pPr>
              <w:pStyle w:val="FSTableText"/>
              <w:rPr>
                <w:lang w:val="en-GB" w:eastAsia="en-AU" w:bidi="ar-SA"/>
              </w:rPr>
            </w:pPr>
            <w:r w:rsidRPr="00552334">
              <w:rPr>
                <w:lang w:val="en-GB" w:eastAsia="en-AU" w:bidi="ar-SA"/>
              </w:rPr>
              <w:t>0</w:t>
            </w:r>
          </w:p>
        </w:tc>
        <w:tc>
          <w:tcPr>
            <w:tcW w:w="1417" w:type="dxa"/>
            <w:vAlign w:val="center"/>
          </w:tcPr>
          <w:p w14:paraId="0CC7FEFA" w14:textId="77777777" w:rsidR="0051780C" w:rsidRPr="00552334" w:rsidRDefault="0051780C" w:rsidP="00A573C4">
            <w:pPr>
              <w:pStyle w:val="FSTableText"/>
              <w:rPr>
                <w:lang w:val="en-GB" w:eastAsia="en-AU" w:bidi="ar-SA"/>
              </w:rPr>
            </w:pPr>
            <w:r w:rsidRPr="00552334">
              <w:rPr>
                <w:lang w:val="en-GB" w:eastAsia="en-AU" w:bidi="ar-SA"/>
              </w:rPr>
              <w:t>0</w:t>
            </w:r>
          </w:p>
        </w:tc>
        <w:tc>
          <w:tcPr>
            <w:tcW w:w="1240" w:type="dxa"/>
            <w:vAlign w:val="center"/>
          </w:tcPr>
          <w:p w14:paraId="6F8D65A7" w14:textId="77777777" w:rsidR="0051780C" w:rsidRPr="00552334" w:rsidRDefault="0051780C" w:rsidP="00A573C4">
            <w:pPr>
              <w:pStyle w:val="FSTableText"/>
              <w:rPr>
                <w:lang w:val="en-GB" w:eastAsia="en-AU" w:bidi="ar-SA"/>
              </w:rPr>
            </w:pPr>
            <w:r w:rsidRPr="00552334">
              <w:rPr>
                <w:lang w:val="en-GB" w:eastAsia="en-AU" w:bidi="ar-SA"/>
              </w:rPr>
              <w:t>0</w:t>
            </w:r>
          </w:p>
        </w:tc>
      </w:tr>
    </w:tbl>
    <w:p w14:paraId="716F1812" w14:textId="77777777" w:rsidR="0051780C" w:rsidRPr="00552334" w:rsidRDefault="0051780C" w:rsidP="0051780C">
      <w:pPr>
        <w:rPr>
          <w:lang w:val="en-GB" w:eastAsia="en-AU" w:bidi="ar-SA"/>
        </w:rPr>
      </w:pPr>
    </w:p>
    <w:p w14:paraId="17892B64" w14:textId="47112F0B" w:rsidR="005B128B" w:rsidRPr="0051780C" w:rsidRDefault="005B128B" w:rsidP="0051780C"/>
    <w:sectPr w:rsidR="005B128B" w:rsidRPr="0051780C" w:rsidSect="00724D8F">
      <w:headerReference w:type="default" r:id="rId30"/>
      <w:footerReference w:type="even" r:id="rId31"/>
      <w:footerReference w:type="default" r:id="rId32"/>
      <w:headerReference w:type="first" r:id="rId3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355FD" w14:textId="77777777" w:rsidR="004C6004" w:rsidRDefault="004C6004">
      <w:r>
        <w:separator/>
      </w:r>
    </w:p>
  </w:endnote>
  <w:endnote w:type="continuationSeparator" w:id="0">
    <w:p w14:paraId="62C66AE3" w14:textId="77777777" w:rsidR="004C6004" w:rsidRDefault="004C6004">
      <w:r>
        <w:continuationSeparator/>
      </w:r>
    </w:p>
  </w:endnote>
  <w:endnote w:type="continuationNotice" w:id="1">
    <w:p w14:paraId="114674B1" w14:textId="77777777" w:rsidR="004C6004" w:rsidRDefault="004C6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9350D" w14:textId="77777777" w:rsidR="004C6004" w:rsidRDefault="004C600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50039" w14:textId="77777777" w:rsidR="004C6004" w:rsidRDefault="004C6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34848"/>
      <w:docPartObj>
        <w:docPartGallery w:val="Page Numbers (Bottom of Page)"/>
        <w:docPartUnique/>
      </w:docPartObj>
    </w:sdtPr>
    <w:sdtEndPr>
      <w:rPr>
        <w:noProof/>
      </w:rPr>
    </w:sdtEndPr>
    <w:sdtContent>
      <w:p w14:paraId="7D69E265" w14:textId="77777777" w:rsidR="004C6004" w:rsidRDefault="004C6004">
        <w:pPr>
          <w:pStyle w:val="Footer"/>
          <w:jc w:val="center"/>
        </w:pPr>
        <w:r>
          <w:fldChar w:fldCharType="begin"/>
        </w:r>
        <w:r>
          <w:instrText xml:space="preserve"> PAGE   \* MERGEFORMAT </w:instrText>
        </w:r>
        <w:r>
          <w:fldChar w:fldCharType="separate"/>
        </w:r>
        <w:r w:rsidR="00A272E7">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BB5A" w14:textId="77777777" w:rsidR="004C6004" w:rsidRDefault="004C600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23174" w14:textId="77777777" w:rsidR="004C6004" w:rsidRDefault="004C60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013755"/>
      <w:docPartObj>
        <w:docPartGallery w:val="Page Numbers (Bottom of Page)"/>
        <w:docPartUnique/>
      </w:docPartObj>
    </w:sdtPr>
    <w:sdtEndPr>
      <w:rPr>
        <w:noProof/>
      </w:rPr>
    </w:sdtEndPr>
    <w:sdtContent>
      <w:p w14:paraId="1B5D3D94" w14:textId="7B8225E1" w:rsidR="004C6004" w:rsidRDefault="004C6004">
        <w:pPr>
          <w:pStyle w:val="Footer"/>
          <w:jc w:val="center"/>
        </w:pPr>
        <w:r>
          <w:fldChar w:fldCharType="begin"/>
        </w:r>
        <w:r>
          <w:instrText xml:space="preserve"> PAGE   \* MERGEFORMAT </w:instrText>
        </w:r>
        <w:r>
          <w:fldChar w:fldCharType="separate"/>
        </w:r>
        <w:r w:rsidR="00A272E7">
          <w:rPr>
            <w:noProof/>
          </w:rPr>
          <w:t>42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B8AB0" w14:textId="77777777" w:rsidR="004C6004" w:rsidRDefault="004C6004">
      <w:r>
        <w:separator/>
      </w:r>
    </w:p>
  </w:footnote>
  <w:footnote w:type="continuationSeparator" w:id="0">
    <w:p w14:paraId="0E36AFDD" w14:textId="77777777" w:rsidR="004C6004" w:rsidRDefault="004C6004">
      <w:r>
        <w:continuationSeparator/>
      </w:r>
    </w:p>
  </w:footnote>
  <w:footnote w:type="continuationNotice" w:id="1">
    <w:p w14:paraId="6353035A" w14:textId="77777777" w:rsidR="004C6004" w:rsidRDefault="004C6004"/>
  </w:footnote>
  <w:footnote w:id="2">
    <w:p w14:paraId="39B0911F" w14:textId="1AA7CB57" w:rsidR="004C6004" w:rsidRDefault="004C6004" w:rsidP="00D612EA">
      <w:pPr>
        <w:pStyle w:val="FootnoteText"/>
      </w:pPr>
      <w:r>
        <w:rPr>
          <w:rStyle w:val="FootnoteReference"/>
        </w:rPr>
        <w:footnoteRef/>
      </w:r>
      <w:r>
        <w:t xml:space="preserve"> </w:t>
      </w:r>
      <w:r w:rsidRPr="00AE69BC">
        <w:rPr>
          <w:sz w:val="18"/>
          <w:szCs w:val="18"/>
        </w:rPr>
        <w:t>The draft variation allows a maximum permitted amount of 2.2 g of total plant sterol equivalents per serving rather than 2 g</w:t>
      </w:r>
      <w:r>
        <w:rPr>
          <w:sz w:val="18"/>
          <w:szCs w:val="18"/>
        </w:rPr>
        <w:t xml:space="preserve"> as requested</w:t>
      </w:r>
      <w:r w:rsidRPr="00AE69BC">
        <w:rPr>
          <w:sz w:val="18"/>
          <w:szCs w:val="18"/>
        </w:rPr>
        <w:t xml:space="preserve">. Refer to section 2.3.2.2. of the Approval report for further explanation. </w:t>
      </w:r>
    </w:p>
  </w:footnote>
  <w:footnote w:id="3">
    <w:p w14:paraId="727C3439" w14:textId="392303E3" w:rsidR="004C6004" w:rsidRDefault="004C6004" w:rsidP="0051780C">
      <w:pPr>
        <w:pStyle w:val="FootnoteText"/>
      </w:pPr>
      <w:r w:rsidRPr="00F0687E">
        <w:rPr>
          <w:rStyle w:val="FootnoteReference"/>
          <w:sz w:val="18"/>
        </w:rPr>
        <w:footnoteRef/>
      </w:r>
      <w:r w:rsidRPr="00F0687E">
        <w:rPr>
          <w:sz w:val="18"/>
        </w:rPr>
        <w:t xml:space="preserve"> The term plant sterols has been used in the DEA to include</w:t>
      </w:r>
      <w:r w:rsidRPr="00F0687E">
        <w:rPr>
          <w:sz w:val="18"/>
          <w:lang w:val="en-GB"/>
        </w:rPr>
        <w:t xml:space="preserve"> the total amount of phytosterols, phytostanols and phytosterols, and phytostanols following hydrolysis of any phytosterol esters and phytostanols esters, as defined as ‘total plant sterol equivalents’ in </w:t>
      </w:r>
      <w:r>
        <w:rPr>
          <w:sz w:val="18"/>
          <w:lang w:val="en-GB"/>
        </w:rPr>
        <w:t>s</w:t>
      </w:r>
      <w:r w:rsidRPr="00F0687E">
        <w:rPr>
          <w:sz w:val="18"/>
          <w:lang w:val="en-GB"/>
        </w:rPr>
        <w:t>ection 1.1.2</w:t>
      </w:r>
      <w:r>
        <w:rPr>
          <w:rFonts w:cs="Arial"/>
          <w:sz w:val="18"/>
          <w:lang w:val="en-GB"/>
        </w:rPr>
        <w:t>—</w:t>
      </w:r>
      <w:r w:rsidRPr="00F0687E">
        <w:rPr>
          <w:sz w:val="18"/>
          <w:lang w:val="en-GB"/>
        </w:rPr>
        <w:t>2</w:t>
      </w:r>
      <w:r>
        <w:rPr>
          <w:sz w:val="18"/>
          <w:lang w:val="en-GB"/>
        </w:rPr>
        <w:t xml:space="preserve"> in the Code</w:t>
      </w:r>
      <w:r w:rsidRPr="00F0687E">
        <w:rPr>
          <w:sz w:val="18"/>
          <w:lang w:val="en-GB"/>
        </w:rPr>
        <w:t xml:space="preserve">. </w:t>
      </w:r>
    </w:p>
  </w:footnote>
  <w:footnote w:id="4">
    <w:p w14:paraId="3637830D" w14:textId="77777777" w:rsidR="004C6004" w:rsidRPr="00547FB5" w:rsidRDefault="004C6004" w:rsidP="00015CD3">
      <w:pPr>
        <w:widowControl/>
        <w:autoSpaceDE w:val="0"/>
        <w:autoSpaceDN w:val="0"/>
        <w:adjustRightInd w:val="0"/>
        <w:rPr>
          <w:rFonts w:cs="Arial"/>
          <w:sz w:val="18"/>
          <w:szCs w:val="18"/>
        </w:rPr>
      </w:pPr>
      <w:r w:rsidRPr="00547FB5">
        <w:rPr>
          <w:rStyle w:val="FootnoteReference"/>
          <w:sz w:val="18"/>
          <w:szCs w:val="18"/>
        </w:rPr>
        <w:footnoteRef/>
      </w:r>
      <w:r w:rsidRPr="00547FB5">
        <w:rPr>
          <w:sz w:val="18"/>
          <w:szCs w:val="18"/>
        </w:rPr>
        <w:t xml:space="preserve"> </w:t>
      </w:r>
      <w:r w:rsidRPr="00547FB5">
        <w:rPr>
          <w:rFonts w:cs="Arial"/>
          <w:sz w:val="18"/>
          <w:szCs w:val="18"/>
        </w:rPr>
        <w:t>Semi-probabilistic refers to a</w:t>
      </w:r>
      <w:r w:rsidRPr="00547FB5">
        <w:rPr>
          <w:rFonts w:cs="Arial"/>
          <w:sz w:val="18"/>
          <w:szCs w:val="18"/>
          <w:lang w:val="en-GB" w:eastAsia="en-GB" w:bidi="ar-SA"/>
        </w:rPr>
        <w:t xml:space="preserve"> </w:t>
      </w:r>
      <w:r w:rsidRPr="00547FB5">
        <w:rPr>
          <w:rFonts w:cs="Arial"/>
          <w:sz w:val="18"/>
          <w:szCs w:val="18"/>
          <w:lang w:val="en-GB"/>
        </w:rPr>
        <w:t xml:space="preserve">dietary exposure method where individual food consumption data is matched with a single point chemical concentration per food or food group, to generate a range of individual dietary exposures. </w:t>
      </w:r>
      <w:r w:rsidRPr="00547FB5">
        <w:rPr>
          <w:rFonts w:cs="Arial"/>
          <w:sz w:val="18"/>
          <w:szCs w:val="18"/>
          <w:lang w:val="en-GB" w:eastAsia="en-GB" w:bidi="ar-SA"/>
        </w:rPr>
        <w:t>When individual records of food consumption are used, information can be generated on the distribution of food chemical dietary exposures in the population in addition to data on mean and percentile exposures for all respondents or consumers only. This method is particularly useful if a chemical is present in a wide variety of foods</w:t>
      </w:r>
      <w:r w:rsidRPr="00547FB5">
        <w:rPr>
          <w:rFonts w:cs="Arial"/>
          <w:sz w:val="18"/>
          <w:szCs w:val="18"/>
          <w:lang w:val="en-GB"/>
        </w:rPr>
        <w:t xml:space="preserve"> (FSANZ, 2009). </w:t>
      </w:r>
    </w:p>
  </w:footnote>
  <w:footnote w:id="5">
    <w:p w14:paraId="067EB15C" w14:textId="77777777" w:rsidR="004C6004" w:rsidRPr="0008324A" w:rsidRDefault="004C6004" w:rsidP="0051780C">
      <w:pPr>
        <w:pStyle w:val="FootnoteText"/>
      </w:pPr>
      <w:r w:rsidRPr="00547FB5">
        <w:rPr>
          <w:rStyle w:val="FootnoteReference"/>
          <w:sz w:val="18"/>
        </w:rPr>
        <w:footnoteRef/>
      </w:r>
      <w:r w:rsidRPr="00547FB5">
        <w:rPr>
          <w:sz w:val="18"/>
        </w:rPr>
        <w:t xml:space="preserve"> Results for New Zealand children excluded from this range due to the low numbers of consumers of foods with added plant sterols in the 2002 NZ NCNS. See Table A3 in Appendix 3.</w:t>
      </w:r>
    </w:p>
  </w:footnote>
  <w:footnote w:id="6">
    <w:p w14:paraId="4566D5D0" w14:textId="77777777" w:rsidR="004C6004" w:rsidRPr="00547FB5" w:rsidRDefault="004C6004" w:rsidP="0051780C">
      <w:pPr>
        <w:pStyle w:val="FootnoteText"/>
        <w:rPr>
          <w:sz w:val="18"/>
          <w:szCs w:val="18"/>
        </w:rPr>
      </w:pPr>
      <w:r w:rsidRPr="00547FB5">
        <w:rPr>
          <w:rStyle w:val="FootnoteReference"/>
          <w:sz w:val="18"/>
          <w:szCs w:val="18"/>
        </w:rPr>
        <w:footnoteRef/>
      </w:r>
      <w:r w:rsidRPr="00547FB5">
        <w:rPr>
          <w:sz w:val="18"/>
          <w:szCs w:val="18"/>
        </w:rPr>
        <w:t xml:space="preserve"> </w:t>
      </w:r>
      <w:hyperlink r:id="rId1" w:history="1">
        <w:r w:rsidRPr="00547FB5">
          <w:rPr>
            <w:color w:val="3333FF"/>
            <w:sz w:val="18"/>
            <w:szCs w:val="18"/>
            <w:u w:val="single"/>
            <w:lang w:val="en-GB"/>
          </w:rPr>
          <w:t>http://www.foodstandards.gov.au/science/riskanalysis/Pages/default.aspx</w:t>
        </w:r>
      </w:hyperlink>
    </w:p>
  </w:footnote>
  <w:footnote w:id="7">
    <w:p w14:paraId="152559AB" w14:textId="5AE832C1" w:rsidR="004C6004" w:rsidRPr="00F0687E" w:rsidRDefault="004C6004" w:rsidP="0051780C">
      <w:pPr>
        <w:pStyle w:val="FootnoteText"/>
        <w:rPr>
          <w:sz w:val="18"/>
        </w:rPr>
      </w:pPr>
      <w:r w:rsidRPr="00547FB5">
        <w:rPr>
          <w:rStyle w:val="FootnoteReference"/>
          <w:sz w:val="18"/>
          <w:szCs w:val="18"/>
        </w:rPr>
        <w:footnoteRef/>
      </w:r>
      <w:hyperlink r:id="rId2" w:history="1">
        <w:r w:rsidRPr="001A675B">
          <w:rPr>
            <w:rStyle w:val="Hyperlink"/>
            <w:sz w:val="18"/>
          </w:rPr>
          <w:t>http://www.foodstandards.gov.au/science/exposure/Pages/dietaryexposureandin4438.aspx</w:t>
        </w:r>
      </w:hyperlink>
      <w:r>
        <w:rPr>
          <w:sz w:val="18"/>
        </w:rPr>
        <w:t xml:space="preserve"> </w:t>
      </w:r>
      <w:hyperlink r:id="rId3" w:history="1"/>
    </w:p>
  </w:footnote>
  <w:footnote w:id="8">
    <w:p w14:paraId="54EDA513" w14:textId="77777777" w:rsidR="004C6004" w:rsidRDefault="004C6004" w:rsidP="0051780C">
      <w:pPr>
        <w:pStyle w:val="FootnoteText"/>
      </w:pPr>
      <w:r w:rsidRPr="00F0687E">
        <w:rPr>
          <w:rStyle w:val="FootnoteReference"/>
          <w:sz w:val="18"/>
        </w:rPr>
        <w:footnoteRef/>
      </w:r>
      <w:r w:rsidRPr="00F0687E">
        <w:rPr>
          <w:sz w:val="18"/>
        </w:rPr>
        <w:t xml:space="preserve"> </w:t>
      </w:r>
      <w:hyperlink r:id="rId4" w:history="1">
        <w:r w:rsidRPr="00F0687E">
          <w:rPr>
            <w:color w:val="3333FF"/>
            <w:sz w:val="18"/>
            <w:u w:val="single"/>
            <w:lang w:eastAsia="en-AU"/>
          </w:rPr>
          <w:t>http://www.foodstandards.gov.au/science/exposure/Pages/dietaryexposureandin4438.aspx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1550F" w14:textId="0801AB01" w:rsidR="004C6004" w:rsidRPr="007D03EA" w:rsidRDefault="004C6004"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67186" w14:textId="77777777" w:rsidR="004C6004" w:rsidRDefault="004C6004">
    <w:pPr>
      <w:pStyle w:val="Header"/>
      <w:jc w:val="center"/>
      <w:rPr>
        <w:b/>
        <w:bCs/>
      </w:rPr>
    </w:pPr>
    <w:r>
      <w:rPr>
        <w:b/>
        <w:bCs/>
      </w:rPr>
      <w:t>BOARD-IN-CONFIDENCE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6FE79" w14:textId="74671922" w:rsidR="004C6004" w:rsidRPr="00724D8F" w:rsidRDefault="004C6004" w:rsidP="00724D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D4FCD" w14:textId="77777777" w:rsidR="004C6004" w:rsidRDefault="004C600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3452"/>
    <w:multiLevelType w:val="hybridMultilevel"/>
    <w:tmpl w:val="EE4E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21AF1"/>
    <w:multiLevelType w:val="multilevel"/>
    <w:tmpl w:val="A8148CAC"/>
    <w:numStyleLink w:val="Style1"/>
  </w:abstractNum>
  <w:abstractNum w:abstractNumId="2">
    <w:nsid w:val="0A662C6C"/>
    <w:multiLevelType w:val="hybridMultilevel"/>
    <w:tmpl w:val="E62CC826"/>
    <w:lvl w:ilvl="0" w:tplc="E2D6EFEE">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306065D"/>
    <w:multiLevelType w:val="multilevel"/>
    <w:tmpl w:val="5FB8B26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6090EBF"/>
    <w:multiLevelType w:val="hybridMultilevel"/>
    <w:tmpl w:val="B1C691F8"/>
    <w:lvl w:ilvl="0" w:tplc="600C35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560C4F"/>
    <w:multiLevelType w:val="multilevel"/>
    <w:tmpl w:val="A93CD8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F305A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CF552D"/>
    <w:multiLevelType w:val="multilevel"/>
    <w:tmpl w:val="77BE257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081DA7"/>
    <w:multiLevelType w:val="multilevel"/>
    <w:tmpl w:val="6BFC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046B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460AE"/>
    <w:multiLevelType w:val="multilevel"/>
    <w:tmpl w:val="80DE4F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D138EF"/>
    <w:multiLevelType w:val="multilevel"/>
    <w:tmpl w:val="0212B202"/>
    <w:lvl w:ilvl="0">
      <w:start w:val="1"/>
      <w:numFmt w:val="decimal"/>
      <w:lvlText w:val="%1 "/>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3947DBE"/>
    <w:multiLevelType w:val="multilevel"/>
    <w:tmpl w:val="0C090023"/>
    <w:lvl w:ilvl="0">
      <w:start w:val="1"/>
      <w:numFmt w:val="upperRoman"/>
      <w:lvlText w:val="Article %1."/>
      <w:lvlJc w:val="left"/>
      <w:pPr>
        <w:ind w:left="710" w:firstLine="0"/>
      </w:pPr>
    </w:lvl>
    <w:lvl w:ilvl="1">
      <w:start w:val="1"/>
      <w:numFmt w:val="decimalZero"/>
      <w:isLgl/>
      <w:lvlText w:val="Section %1.%2"/>
      <w:lvlJc w:val="left"/>
      <w:pPr>
        <w:ind w:left="710" w:firstLine="0"/>
      </w:pPr>
    </w:lvl>
    <w:lvl w:ilvl="2">
      <w:start w:val="1"/>
      <w:numFmt w:val="lowerLetter"/>
      <w:lvlText w:val="(%3)"/>
      <w:lvlJc w:val="left"/>
      <w:pPr>
        <w:ind w:left="1430" w:hanging="432"/>
      </w:pPr>
    </w:lvl>
    <w:lvl w:ilvl="3">
      <w:start w:val="1"/>
      <w:numFmt w:val="lowerRoman"/>
      <w:lvlText w:val="(%4)"/>
      <w:lvlJc w:val="right"/>
      <w:pPr>
        <w:ind w:left="1574" w:hanging="144"/>
      </w:pPr>
    </w:lvl>
    <w:lvl w:ilvl="4">
      <w:start w:val="1"/>
      <w:numFmt w:val="decimal"/>
      <w:lvlText w:val="%5)"/>
      <w:lvlJc w:val="left"/>
      <w:pPr>
        <w:ind w:left="1718" w:hanging="432"/>
      </w:pPr>
    </w:lvl>
    <w:lvl w:ilvl="5">
      <w:start w:val="1"/>
      <w:numFmt w:val="lowerLetter"/>
      <w:lvlText w:val="%6)"/>
      <w:lvlJc w:val="left"/>
      <w:pPr>
        <w:ind w:left="1862" w:hanging="432"/>
      </w:pPr>
    </w:lvl>
    <w:lvl w:ilvl="6">
      <w:start w:val="1"/>
      <w:numFmt w:val="lowerRoman"/>
      <w:lvlText w:val="%7)"/>
      <w:lvlJc w:val="right"/>
      <w:pPr>
        <w:ind w:left="2006" w:hanging="288"/>
      </w:pPr>
    </w:lvl>
    <w:lvl w:ilvl="7">
      <w:start w:val="1"/>
      <w:numFmt w:val="lowerLetter"/>
      <w:lvlText w:val="%8."/>
      <w:lvlJc w:val="left"/>
      <w:pPr>
        <w:ind w:left="2150" w:hanging="432"/>
      </w:pPr>
    </w:lvl>
    <w:lvl w:ilvl="8">
      <w:start w:val="1"/>
      <w:numFmt w:val="lowerRoman"/>
      <w:lvlText w:val="%9."/>
      <w:lvlJc w:val="right"/>
      <w:pPr>
        <w:ind w:left="2294" w:hanging="144"/>
      </w:pPr>
    </w:lvl>
  </w:abstractNum>
  <w:abstractNum w:abstractNumId="15">
    <w:nsid w:val="3A062BBD"/>
    <w:multiLevelType w:val="multilevel"/>
    <w:tmpl w:val="7764B16E"/>
    <w:lvl w:ilvl="0">
      <w:start w:val="5"/>
      <w:numFmt w:val="decimal"/>
      <w:lvlText w:val="%1"/>
      <w:lvlJc w:val="left"/>
      <w:pPr>
        <w:ind w:left="495" w:hanging="495"/>
      </w:pPr>
      <w:rPr>
        <w:rFonts w:hint="default"/>
      </w:rPr>
    </w:lvl>
    <w:lvl w:ilvl="1">
      <w:start w:val="1"/>
      <w:numFmt w:val="decimal"/>
      <w:pStyle w:val="FSCh2Part"/>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3A8B2956"/>
    <w:multiLevelType w:val="multilevel"/>
    <w:tmpl w:val="0A501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306030"/>
    <w:multiLevelType w:val="hybridMultilevel"/>
    <w:tmpl w:val="D7741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BA237F"/>
    <w:multiLevelType w:val="hybridMultilevel"/>
    <w:tmpl w:val="CC407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292E36"/>
    <w:multiLevelType w:val="hybridMultilevel"/>
    <w:tmpl w:val="7DC204B8"/>
    <w:lvl w:ilvl="0" w:tplc="63E6E3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7F4C86"/>
    <w:multiLevelType w:val="hybridMultilevel"/>
    <w:tmpl w:val="E3D85AD6"/>
    <w:lvl w:ilvl="0" w:tplc="9768E180">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AE36E0"/>
    <w:multiLevelType w:val="multilevel"/>
    <w:tmpl w:val="5E2AF2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471653E1"/>
    <w:multiLevelType w:val="hybridMultilevel"/>
    <w:tmpl w:val="7248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695215"/>
    <w:multiLevelType w:val="multilevel"/>
    <w:tmpl w:val="603E979C"/>
    <w:lvl w:ilvl="0">
      <w:start w:val="1"/>
      <w:numFmt w:val="decimal"/>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EBE229E"/>
    <w:multiLevelType w:val="hybridMultilevel"/>
    <w:tmpl w:val="25DCC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1A31219"/>
    <w:multiLevelType w:val="hybridMultilevel"/>
    <w:tmpl w:val="43E637B2"/>
    <w:lvl w:ilvl="0" w:tplc="A5BCB8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C05226"/>
    <w:multiLevelType w:val="multilevel"/>
    <w:tmpl w:val="A8148CAC"/>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nsid w:val="5DD27D71"/>
    <w:multiLevelType w:val="multilevel"/>
    <w:tmpl w:val="77D6B4B6"/>
    <w:lvl w:ilvl="0">
      <w:start w:val="1"/>
      <w:numFmt w:val="decimal"/>
      <w:lvlText w:val="%1 "/>
      <w:lvlJc w:val="left"/>
      <w:pPr>
        <w:ind w:left="720" w:hanging="360"/>
      </w:pPr>
      <w:rPr>
        <w:rFonts w:hint="default"/>
      </w:rPr>
    </w:lvl>
    <w:lvl w:ilvl="1">
      <w:start w:val="1"/>
      <w:numFmt w:val="none"/>
      <w:lvlText w:val="%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52517CB"/>
    <w:multiLevelType w:val="multilevel"/>
    <w:tmpl w:val="2E2CA6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7652CF"/>
    <w:multiLevelType w:val="multilevel"/>
    <w:tmpl w:val="33D02D5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020C9F"/>
    <w:multiLevelType w:val="hybridMultilevel"/>
    <w:tmpl w:val="B7BA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4F46C9"/>
    <w:multiLevelType w:val="multilevel"/>
    <w:tmpl w:val="A53C7984"/>
    <w:lvl w:ilvl="0">
      <w:start w:val="1"/>
      <w:numFmt w:val="decimal"/>
      <w:pStyle w:val="FSCh1Chap"/>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9FD2222"/>
    <w:multiLevelType w:val="hybridMultilevel"/>
    <w:tmpl w:val="3454C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7E4E86"/>
    <w:multiLevelType w:val="hybridMultilevel"/>
    <w:tmpl w:val="4DF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DC799C"/>
    <w:multiLevelType w:val="multilevel"/>
    <w:tmpl w:val="5C0CA7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2"/>
  </w:num>
  <w:num w:numId="2">
    <w:abstractNumId w:val="22"/>
  </w:num>
  <w:num w:numId="3">
    <w:abstractNumId w:val="3"/>
  </w:num>
  <w:num w:numId="4">
    <w:abstractNumId w:val="7"/>
  </w:num>
  <w:num w:numId="5">
    <w:abstractNumId w:val="32"/>
  </w:num>
  <w:num w:numId="6">
    <w:abstractNumId w:val="32"/>
  </w:num>
  <w:num w:numId="7">
    <w:abstractNumId w:val="32"/>
  </w:num>
  <w:num w:numId="8">
    <w:abstractNumId w:val="32"/>
  </w:num>
  <w:num w:numId="9">
    <w:abstractNumId w:val="32"/>
  </w:num>
  <w:num w:numId="10">
    <w:abstractNumId w:val="6"/>
  </w:num>
  <w:num w:numId="11">
    <w:abstractNumId w:val="29"/>
  </w:num>
  <w:num w:numId="12">
    <w:abstractNumId w:val="15"/>
  </w:num>
  <w:num w:numId="13">
    <w:abstractNumId w:val="15"/>
  </w:num>
  <w:num w:numId="14">
    <w:abstractNumId w:val="15"/>
  </w:num>
  <w:num w:numId="15">
    <w:abstractNumId w:val="35"/>
  </w:num>
  <w:num w:numId="16">
    <w:abstractNumId w:val="0"/>
  </w:num>
  <w:num w:numId="17">
    <w:abstractNumId w:val="19"/>
  </w:num>
  <w:num w:numId="18">
    <w:abstractNumId w:val="15"/>
  </w:num>
  <w:num w:numId="19">
    <w:abstractNumId w:val="18"/>
  </w:num>
  <w:num w:numId="20">
    <w:abstractNumId w:val="20"/>
  </w:num>
  <w:num w:numId="21">
    <w:abstractNumId w:val="24"/>
  </w:num>
  <w:num w:numId="22">
    <w:abstractNumId w:val="11"/>
  </w:num>
  <w:num w:numId="23">
    <w:abstractNumId w:val="27"/>
  </w:num>
  <w:num w:numId="24">
    <w:abstractNumId w:val="1"/>
  </w:num>
  <w:num w:numId="25">
    <w:abstractNumId w:val="28"/>
  </w:num>
  <w:num w:numId="26">
    <w:abstractNumId w:val="13"/>
  </w:num>
  <w:num w:numId="27">
    <w:abstractNumId w:val="2"/>
  </w:num>
  <w:num w:numId="28">
    <w:abstractNumId w:val="21"/>
  </w:num>
  <w:num w:numId="29">
    <w:abstractNumId w:val="31"/>
  </w:num>
  <w:num w:numId="30">
    <w:abstractNumId w:val="10"/>
  </w:num>
  <w:num w:numId="31">
    <w:abstractNumId w:val="25"/>
  </w:num>
  <w:num w:numId="32">
    <w:abstractNumId w:val="30"/>
  </w:num>
  <w:num w:numId="33">
    <w:abstractNumId w:val="26"/>
  </w:num>
  <w:num w:numId="34">
    <w:abstractNumId w:val="16"/>
  </w:num>
  <w:num w:numId="35">
    <w:abstractNumId w:val="34"/>
  </w:num>
  <w:num w:numId="36">
    <w:abstractNumId w:val="8"/>
  </w:num>
  <w:num w:numId="37">
    <w:abstractNumId w:val="23"/>
  </w:num>
  <w:num w:numId="38">
    <w:abstractNumId w:val="9"/>
  </w:num>
  <w:num w:numId="39">
    <w:abstractNumId w:val="14"/>
  </w:num>
  <w:num w:numId="40">
    <w:abstractNumId w:val="4"/>
  </w:num>
  <w:num w:numId="41">
    <w:abstractNumId w:val="33"/>
  </w:num>
  <w:num w:numId="42">
    <w:abstractNumId w:val="17"/>
  </w:num>
  <w:num w:numId="4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a1134 sd1 refs&lt;/item&gt;&lt;/Libraries&gt;&lt;/ENLibraries&gt;"/>
  </w:docVars>
  <w:rsids>
    <w:rsidRoot w:val="005F7342"/>
    <w:rsid w:val="00001753"/>
    <w:rsid w:val="00001C13"/>
    <w:rsid w:val="00001CF2"/>
    <w:rsid w:val="0000247B"/>
    <w:rsid w:val="000024D7"/>
    <w:rsid w:val="00003972"/>
    <w:rsid w:val="00004111"/>
    <w:rsid w:val="0000469B"/>
    <w:rsid w:val="00007E3A"/>
    <w:rsid w:val="00011A3B"/>
    <w:rsid w:val="00011B4F"/>
    <w:rsid w:val="0001206A"/>
    <w:rsid w:val="00012A29"/>
    <w:rsid w:val="00013369"/>
    <w:rsid w:val="0001407D"/>
    <w:rsid w:val="00014A16"/>
    <w:rsid w:val="00014B7C"/>
    <w:rsid w:val="00014C75"/>
    <w:rsid w:val="000156B9"/>
    <w:rsid w:val="00015AEA"/>
    <w:rsid w:val="00015CD3"/>
    <w:rsid w:val="00016AFF"/>
    <w:rsid w:val="00016E07"/>
    <w:rsid w:val="00017C72"/>
    <w:rsid w:val="00017F99"/>
    <w:rsid w:val="00020A9B"/>
    <w:rsid w:val="00022211"/>
    <w:rsid w:val="00022F09"/>
    <w:rsid w:val="00024865"/>
    <w:rsid w:val="00024870"/>
    <w:rsid w:val="00024D26"/>
    <w:rsid w:val="00024DF6"/>
    <w:rsid w:val="00025C21"/>
    <w:rsid w:val="00026229"/>
    <w:rsid w:val="00026FD3"/>
    <w:rsid w:val="000276B3"/>
    <w:rsid w:val="00030E91"/>
    <w:rsid w:val="0003249E"/>
    <w:rsid w:val="0003323D"/>
    <w:rsid w:val="0003457F"/>
    <w:rsid w:val="000355EB"/>
    <w:rsid w:val="00035643"/>
    <w:rsid w:val="00035FF3"/>
    <w:rsid w:val="000364BA"/>
    <w:rsid w:val="00036DB9"/>
    <w:rsid w:val="00037E6E"/>
    <w:rsid w:val="00041248"/>
    <w:rsid w:val="000413BD"/>
    <w:rsid w:val="000418E7"/>
    <w:rsid w:val="000429C7"/>
    <w:rsid w:val="00043535"/>
    <w:rsid w:val="0004491C"/>
    <w:rsid w:val="00045351"/>
    <w:rsid w:val="00045CA3"/>
    <w:rsid w:val="00050078"/>
    <w:rsid w:val="000501BC"/>
    <w:rsid w:val="00050201"/>
    <w:rsid w:val="00051021"/>
    <w:rsid w:val="00051ED9"/>
    <w:rsid w:val="00053167"/>
    <w:rsid w:val="000538BF"/>
    <w:rsid w:val="000538E3"/>
    <w:rsid w:val="00054928"/>
    <w:rsid w:val="00054E37"/>
    <w:rsid w:val="000550C1"/>
    <w:rsid w:val="00055612"/>
    <w:rsid w:val="00055CB3"/>
    <w:rsid w:val="00055CEA"/>
    <w:rsid w:val="0005645B"/>
    <w:rsid w:val="00057181"/>
    <w:rsid w:val="00057410"/>
    <w:rsid w:val="00057B79"/>
    <w:rsid w:val="000614A9"/>
    <w:rsid w:val="00061722"/>
    <w:rsid w:val="0006237D"/>
    <w:rsid w:val="000629E8"/>
    <w:rsid w:val="00063C8C"/>
    <w:rsid w:val="0006473A"/>
    <w:rsid w:val="00064B2D"/>
    <w:rsid w:val="00064EEF"/>
    <w:rsid w:val="00065954"/>
    <w:rsid w:val="00065F1F"/>
    <w:rsid w:val="0006616C"/>
    <w:rsid w:val="0006685E"/>
    <w:rsid w:val="00066A91"/>
    <w:rsid w:val="00067EAB"/>
    <w:rsid w:val="0007140A"/>
    <w:rsid w:val="000718A5"/>
    <w:rsid w:val="00071B54"/>
    <w:rsid w:val="000744A3"/>
    <w:rsid w:val="00076D33"/>
    <w:rsid w:val="000774A2"/>
    <w:rsid w:val="000777A1"/>
    <w:rsid w:val="00080D98"/>
    <w:rsid w:val="00082F3F"/>
    <w:rsid w:val="00083B28"/>
    <w:rsid w:val="000841B3"/>
    <w:rsid w:val="00084C25"/>
    <w:rsid w:val="00084FED"/>
    <w:rsid w:val="00085BD8"/>
    <w:rsid w:val="000863CC"/>
    <w:rsid w:val="00087566"/>
    <w:rsid w:val="0008784D"/>
    <w:rsid w:val="00087A4B"/>
    <w:rsid w:val="00091D5E"/>
    <w:rsid w:val="00092CDA"/>
    <w:rsid w:val="00092EEC"/>
    <w:rsid w:val="00094977"/>
    <w:rsid w:val="00094EC1"/>
    <w:rsid w:val="000959B5"/>
    <w:rsid w:val="00095A7A"/>
    <w:rsid w:val="000965F3"/>
    <w:rsid w:val="0009678F"/>
    <w:rsid w:val="00097307"/>
    <w:rsid w:val="00097D86"/>
    <w:rsid w:val="000A1552"/>
    <w:rsid w:val="000A1640"/>
    <w:rsid w:val="000A1A41"/>
    <w:rsid w:val="000A2340"/>
    <w:rsid w:val="000A27E9"/>
    <w:rsid w:val="000A29AE"/>
    <w:rsid w:val="000A3C94"/>
    <w:rsid w:val="000A3D8B"/>
    <w:rsid w:val="000A3F06"/>
    <w:rsid w:val="000A42E5"/>
    <w:rsid w:val="000A4CC0"/>
    <w:rsid w:val="000A55F9"/>
    <w:rsid w:val="000A59E7"/>
    <w:rsid w:val="000A5D07"/>
    <w:rsid w:val="000A5DF8"/>
    <w:rsid w:val="000A6093"/>
    <w:rsid w:val="000A6A61"/>
    <w:rsid w:val="000B0690"/>
    <w:rsid w:val="000B213C"/>
    <w:rsid w:val="000B2F46"/>
    <w:rsid w:val="000B334B"/>
    <w:rsid w:val="000B35D9"/>
    <w:rsid w:val="000B5B8B"/>
    <w:rsid w:val="000B6AF2"/>
    <w:rsid w:val="000B7DB9"/>
    <w:rsid w:val="000C1251"/>
    <w:rsid w:val="000C1A00"/>
    <w:rsid w:val="000C1F9F"/>
    <w:rsid w:val="000C35FB"/>
    <w:rsid w:val="000C3A5D"/>
    <w:rsid w:val="000C429E"/>
    <w:rsid w:val="000C4592"/>
    <w:rsid w:val="000C5959"/>
    <w:rsid w:val="000C60A4"/>
    <w:rsid w:val="000C6A25"/>
    <w:rsid w:val="000D041A"/>
    <w:rsid w:val="000D307F"/>
    <w:rsid w:val="000D3672"/>
    <w:rsid w:val="000D48E0"/>
    <w:rsid w:val="000D5517"/>
    <w:rsid w:val="000D55A5"/>
    <w:rsid w:val="000D56AF"/>
    <w:rsid w:val="000D65B1"/>
    <w:rsid w:val="000D6E1E"/>
    <w:rsid w:val="000D6FD4"/>
    <w:rsid w:val="000D71BD"/>
    <w:rsid w:val="000D75E8"/>
    <w:rsid w:val="000E0A22"/>
    <w:rsid w:val="000E0AE4"/>
    <w:rsid w:val="000E1116"/>
    <w:rsid w:val="000E19C3"/>
    <w:rsid w:val="000E1E1A"/>
    <w:rsid w:val="000E1E6E"/>
    <w:rsid w:val="000E20B2"/>
    <w:rsid w:val="000E3596"/>
    <w:rsid w:val="000E35E8"/>
    <w:rsid w:val="000E3DBC"/>
    <w:rsid w:val="000E41FD"/>
    <w:rsid w:val="000E56BE"/>
    <w:rsid w:val="000E5739"/>
    <w:rsid w:val="000E6116"/>
    <w:rsid w:val="000E639A"/>
    <w:rsid w:val="000E6DB5"/>
    <w:rsid w:val="000E7D28"/>
    <w:rsid w:val="000F0EC1"/>
    <w:rsid w:val="000F26BE"/>
    <w:rsid w:val="000F284F"/>
    <w:rsid w:val="000F3926"/>
    <w:rsid w:val="000F3F17"/>
    <w:rsid w:val="000F5CB4"/>
    <w:rsid w:val="000F606E"/>
    <w:rsid w:val="000F63AA"/>
    <w:rsid w:val="000F6729"/>
    <w:rsid w:val="000F6C92"/>
    <w:rsid w:val="000F731E"/>
    <w:rsid w:val="000F7425"/>
    <w:rsid w:val="00101019"/>
    <w:rsid w:val="001019B7"/>
    <w:rsid w:val="00101A17"/>
    <w:rsid w:val="00104DEC"/>
    <w:rsid w:val="001072B9"/>
    <w:rsid w:val="001072D0"/>
    <w:rsid w:val="00107BE0"/>
    <w:rsid w:val="00110626"/>
    <w:rsid w:val="00110A00"/>
    <w:rsid w:val="0011112A"/>
    <w:rsid w:val="00111573"/>
    <w:rsid w:val="001116E5"/>
    <w:rsid w:val="00112D80"/>
    <w:rsid w:val="001139BF"/>
    <w:rsid w:val="00113CE3"/>
    <w:rsid w:val="00113ED4"/>
    <w:rsid w:val="0011417E"/>
    <w:rsid w:val="0011438E"/>
    <w:rsid w:val="001144A7"/>
    <w:rsid w:val="001147E2"/>
    <w:rsid w:val="001149DA"/>
    <w:rsid w:val="00116045"/>
    <w:rsid w:val="00117522"/>
    <w:rsid w:val="00117873"/>
    <w:rsid w:val="00120DFE"/>
    <w:rsid w:val="0012204C"/>
    <w:rsid w:val="00122704"/>
    <w:rsid w:val="001232E4"/>
    <w:rsid w:val="00123F79"/>
    <w:rsid w:val="001243B9"/>
    <w:rsid w:val="001253EB"/>
    <w:rsid w:val="0012543F"/>
    <w:rsid w:val="001255D9"/>
    <w:rsid w:val="0012681E"/>
    <w:rsid w:val="00126A44"/>
    <w:rsid w:val="00127C1E"/>
    <w:rsid w:val="00130641"/>
    <w:rsid w:val="00130847"/>
    <w:rsid w:val="00130895"/>
    <w:rsid w:val="00130B45"/>
    <w:rsid w:val="00131071"/>
    <w:rsid w:val="00131B43"/>
    <w:rsid w:val="00132711"/>
    <w:rsid w:val="00133863"/>
    <w:rsid w:val="00134B74"/>
    <w:rsid w:val="00136A6A"/>
    <w:rsid w:val="00136D2C"/>
    <w:rsid w:val="00137867"/>
    <w:rsid w:val="0014043A"/>
    <w:rsid w:val="001404A4"/>
    <w:rsid w:val="00141888"/>
    <w:rsid w:val="0014235C"/>
    <w:rsid w:val="00143D01"/>
    <w:rsid w:val="00144D5C"/>
    <w:rsid w:val="00145856"/>
    <w:rsid w:val="00150142"/>
    <w:rsid w:val="00150818"/>
    <w:rsid w:val="0015094E"/>
    <w:rsid w:val="00150F00"/>
    <w:rsid w:val="0015170D"/>
    <w:rsid w:val="001518A9"/>
    <w:rsid w:val="0015250E"/>
    <w:rsid w:val="001527AE"/>
    <w:rsid w:val="00152ADA"/>
    <w:rsid w:val="001542B3"/>
    <w:rsid w:val="001542D8"/>
    <w:rsid w:val="00154399"/>
    <w:rsid w:val="00154EC4"/>
    <w:rsid w:val="00155BFD"/>
    <w:rsid w:val="00160560"/>
    <w:rsid w:val="0016142C"/>
    <w:rsid w:val="00161CB1"/>
    <w:rsid w:val="00162B22"/>
    <w:rsid w:val="00163FB7"/>
    <w:rsid w:val="001642E9"/>
    <w:rsid w:val="00164FBE"/>
    <w:rsid w:val="001651AB"/>
    <w:rsid w:val="0016564C"/>
    <w:rsid w:val="0016576D"/>
    <w:rsid w:val="001665B5"/>
    <w:rsid w:val="00166602"/>
    <w:rsid w:val="0016725B"/>
    <w:rsid w:val="0016790A"/>
    <w:rsid w:val="00170696"/>
    <w:rsid w:val="00171295"/>
    <w:rsid w:val="001716FB"/>
    <w:rsid w:val="001727A3"/>
    <w:rsid w:val="00172B36"/>
    <w:rsid w:val="0017354E"/>
    <w:rsid w:val="00173570"/>
    <w:rsid w:val="001735C6"/>
    <w:rsid w:val="001743D6"/>
    <w:rsid w:val="0017525B"/>
    <w:rsid w:val="0017545F"/>
    <w:rsid w:val="00175D59"/>
    <w:rsid w:val="00175FB2"/>
    <w:rsid w:val="001760D4"/>
    <w:rsid w:val="001762AE"/>
    <w:rsid w:val="00176F1D"/>
    <w:rsid w:val="00180C41"/>
    <w:rsid w:val="00180C50"/>
    <w:rsid w:val="00180C77"/>
    <w:rsid w:val="00181887"/>
    <w:rsid w:val="00182C4C"/>
    <w:rsid w:val="00182CD2"/>
    <w:rsid w:val="0018318C"/>
    <w:rsid w:val="0018472E"/>
    <w:rsid w:val="00184C30"/>
    <w:rsid w:val="00184E73"/>
    <w:rsid w:val="0018552C"/>
    <w:rsid w:val="00186663"/>
    <w:rsid w:val="00186986"/>
    <w:rsid w:val="00186F6E"/>
    <w:rsid w:val="00190C35"/>
    <w:rsid w:val="00190E42"/>
    <w:rsid w:val="00191FBF"/>
    <w:rsid w:val="00192851"/>
    <w:rsid w:val="00193584"/>
    <w:rsid w:val="00193A1B"/>
    <w:rsid w:val="001947FB"/>
    <w:rsid w:val="001950B5"/>
    <w:rsid w:val="0019665E"/>
    <w:rsid w:val="001968D3"/>
    <w:rsid w:val="00196AFA"/>
    <w:rsid w:val="001978D2"/>
    <w:rsid w:val="0019798A"/>
    <w:rsid w:val="00197A3A"/>
    <w:rsid w:val="00197D8D"/>
    <w:rsid w:val="001A0A0C"/>
    <w:rsid w:val="001A1A75"/>
    <w:rsid w:val="001A1E79"/>
    <w:rsid w:val="001A20F0"/>
    <w:rsid w:val="001A4077"/>
    <w:rsid w:val="001A6522"/>
    <w:rsid w:val="001A7E9A"/>
    <w:rsid w:val="001B003F"/>
    <w:rsid w:val="001B0433"/>
    <w:rsid w:val="001B059E"/>
    <w:rsid w:val="001B0859"/>
    <w:rsid w:val="001B18E0"/>
    <w:rsid w:val="001B21DB"/>
    <w:rsid w:val="001B2544"/>
    <w:rsid w:val="001B2967"/>
    <w:rsid w:val="001B3933"/>
    <w:rsid w:val="001B3D85"/>
    <w:rsid w:val="001B51B0"/>
    <w:rsid w:val="001B56E9"/>
    <w:rsid w:val="001B59C8"/>
    <w:rsid w:val="001B5F12"/>
    <w:rsid w:val="001B60E6"/>
    <w:rsid w:val="001B68AB"/>
    <w:rsid w:val="001C05A8"/>
    <w:rsid w:val="001C0C6D"/>
    <w:rsid w:val="001C0CF0"/>
    <w:rsid w:val="001C13F5"/>
    <w:rsid w:val="001C2020"/>
    <w:rsid w:val="001C210D"/>
    <w:rsid w:val="001C24F8"/>
    <w:rsid w:val="001C27A3"/>
    <w:rsid w:val="001C3946"/>
    <w:rsid w:val="001C39A2"/>
    <w:rsid w:val="001C3F40"/>
    <w:rsid w:val="001C4E19"/>
    <w:rsid w:val="001C4EC5"/>
    <w:rsid w:val="001C5295"/>
    <w:rsid w:val="001C5897"/>
    <w:rsid w:val="001C5A36"/>
    <w:rsid w:val="001C5D36"/>
    <w:rsid w:val="001C61A3"/>
    <w:rsid w:val="001C75C3"/>
    <w:rsid w:val="001D00CD"/>
    <w:rsid w:val="001D0365"/>
    <w:rsid w:val="001D0F9D"/>
    <w:rsid w:val="001D299C"/>
    <w:rsid w:val="001D6660"/>
    <w:rsid w:val="001D6BC7"/>
    <w:rsid w:val="001D7521"/>
    <w:rsid w:val="001D7732"/>
    <w:rsid w:val="001D7919"/>
    <w:rsid w:val="001E016D"/>
    <w:rsid w:val="001E09FA"/>
    <w:rsid w:val="001E0A9F"/>
    <w:rsid w:val="001E42E3"/>
    <w:rsid w:val="001E6054"/>
    <w:rsid w:val="001E6B48"/>
    <w:rsid w:val="001E6CA1"/>
    <w:rsid w:val="001E7BD7"/>
    <w:rsid w:val="001E7C9C"/>
    <w:rsid w:val="001E7D0D"/>
    <w:rsid w:val="001F0053"/>
    <w:rsid w:val="001F065F"/>
    <w:rsid w:val="001F0D8D"/>
    <w:rsid w:val="001F0E12"/>
    <w:rsid w:val="001F1566"/>
    <w:rsid w:val="001F165B"/>
    <w:rsid w:val="001F1A0E"/>
    <w:rsid w:val="001F1C81"/>
    <w:rsid w:val="001F2E25"/>
    <w:rsid w:val="001F2F6A"/>
    <w:rsid w:val="001F333D"/>
    <w:rsid w:val="001F45FF"/>
    <w:rsid w:val="001F6C15"/>
    <w:rsid w:val="001F78F1"/>
    <w:rsid w:val="001F7FFC"/>
    <w:rsid w:val="002003A7"/>
    <w:rsid w:val="002005D3"/>
    <w:rsid w:val="00201441"/>
    <w:rsid w:val="00201D93"/>
    <w:rsid w:val="00202345"/>
    <w:rsid w:val="0020266F"/>
    <w:rsid w:val="00203540"/>
    <w:rsid w:val="00203567"/>
    <w:rsid w:val="00203752"/>
    <w:rsid w:val="00206C46"/>
    <w:rsid w:val="00207499"/>
    <w:rsid w:val="002077CA"/>
    <w:rsid w:val="00207DCA"/>
    <w:rsid w:val="00210351"/>
    <w:rsid w:val="002126CE"/>
    <w:rsid w:val="002129A6"/>
    <w:rsid w:val="00212EF3"/>
    <w:rsid w:val="0021349C"/>
    <w:rsid w:val="00213644"/>
    <w:rsid w:val="002147EC"/>
    <w:rsid w:val="002155F3"/>
    <w:rsid w:val="0021612B"/>
    <w:rsid w:val="0021631B"/>
    <w:rsid w:val="00216422"/>
    <w:rsid w:val="002166FB"/>
    <w:rsid w:val="00216A12"/>
    <w:rsid w:val="002177A2"/>
    <w:rsid w:val="0021780B"/>
    <w:rsid w:val="002206CA"/>
    <w:rsid w:val="0022083A"/>
    <w:rsid w:val="002219AD"/>
    <w:rsid w:val="00221D07"/>
    <w:rsid w:val="002226D6"/>
    <w:rsid w:val="00222F25"/>
    <w:rsid w:val="00225D81"/>
    <w:rsid w:val="0022631B"/>
    <w:rsid w:val="00226DDA"/>
    <w:rsid w:val="002271E9"/>
    <w:rsid w:val="00227B79"/>
    <w:rsid w:val="00227E4A"/>
    <w:rsid w:val="00227F90"/>
    <w:rsid w:val="00227FC6"/>
    <w:rsid w:val="00232DC0"/>
    <w:rsid w:val="00233153"/>
    <w:rsid w:val="002331E6"/>
    <w:rsid w:val="00233475"/>
    <w:rsid w:val="00234341"/>
    <w:rsid w:val="00234560"/>
    <w:rsid w:val="00234F7C"/>
    <w:rsid w:val="002369D7"/>
    <w:rsid w:val="00236A63"/>
    <w:rsid w:val="0023710A"/>
    <w:rsid w:val="00237170"/>
    <w:rsid w:val="00237201"/>
    <w:rsid w:val="00237229"/>
    <w:rsid w:val="0024114E"/>
    <w:rsid w:val="00243C3E"/>
    <w:rsid w:val="0024542E"/>
    <w:rsid w:val="002457B4"/>
    <w:rsid w:val="0024582E"/>
    <w:rsid w:val="00245C56"/>
    <w:rsid w:val="00247244"/>
    <w:rsid w:val="0025003F"/>
    <w:rsid w:val="00250385"/>
    <w:rsid w:val="00250554"/>
    <w:rsid w:val="002511E1"/>
    <w:rsid w:val="002512F7"/>
    <w:rsid w:val="00251354"/>
    <w:rsid w:val="0025243C"/>
    <w:rsid w:val="00252C82"/>
    <w:rsid w:val="00252ECA"/>
    <w:rsid w:val="00252ED8"/>
    <w:rsid w:val="00253958"/>
    <w:rsid w:val="00253D32"/>
    <w:rsid w:val="002547EF"/>
    <w:rsid w:val="002565BF"/>
    <w:rsid w:val="00256B3F"/>
    <w:rsid w:val="00256D65"/>
    <w:rsid w:val="00260470"/>
    <w:rsid w:val="00260481"/>
    <w:rsid w:val="00263644"/>
    <w:rsid w:val="0026382E"/>
    <w:rsid w:val="00264640"/>
    <w:rsid w:val="00265981"/>
    <w:rsid w:val="002667A0"/>
    <w:rsid w:val="0026786F"/>
    <w:rsid w:val="00270DE0"/>
    <w:rsid w:val="00271F00"/>
    <w:rsid w:val="00273A80"/>
    <w:rsid w:val="00274558"/>
    <w:rsid w:val="00274852"/>
    <w:rsid w:val="002754AB"/>
    <w:rsid w:val="00276755"/>
    <w:rsid w:val="00277500"/>
    <w:rsid w:val="0027796B"/>
    <w:rsid w:val="00280256"/>
    <w:rsid w:val="002802F5"/>
    <w:rsid w:val="002826A5"/>
    <w:rsid w:val="00282773"/>
    <w:rsid w:val="00282C15"/>
    <w:rsid w:val="00282C3D"/>
    <w:rsid w:val="00282F12"/>
    <w:rsid w:val="00283500"/>
    <w:rsid w:val="00283AF0"/>
    <w:rsid w:val="002847CC"/>
    <w:rsid w:val="00284D23"/>
    <w:rsid w:val="00285318"/>
    <w:rsid w:val="00287039"/>
    <w:rsid w:val="00287BB7"/>
    <w:rsid w:val="00290E84"/>
    <w:rsid w:val="00291835"/>
    <w:rsid w:val="0029204E"/>
    <w:rsid w:val="00292AD1"/>
    <w:rsid w:val="0029304B"/>
    <w:rsid w:val="00295E9D"/>
    <w:rsid w:val="0029631C"/>
    <w:rsid w:val="0029708B"/>
    <w:rsid w:val="00297C39"/>
    <w:rsid w:val="002A0194"/>
    <w:rsid w:val="002A06D9"/>
    <w:rsid w:val="002A0924"/>
    <w:rsid w:val="002A27F1"/>
    <w:rsid w:val="002A3314"/>
    <w:rsid w:val="002A43C2"/>
    <w:rsid w:val="002A459E"/>
    <w:rsid w:val="002A4FAC"/>
    <w:rsid w:val="002A5F8B"/>
    <w:rsid w:val="002A615E"/>
    <w:rsid w:val="002A69CD"/>
    <w:rsid w:val="002A7163"/>
    <w:rsid w:val="002A7299"/>
    <w:rsid w:val="002A7F6C"/>
    <w:rsid w:val="002B1C2A"/>
    <w:rsid w:val="002B3582"/>
    <w:rsid w:val="002B3842"/>
    <w:rsid w:val="002B41A3"/>
    <w:rsid w:val="002B77D1"/>
    <w:rsid w:val="002C03FE"/>
    <w:rsid w:val="002C14CE"/>
    <w:rsid w:val="002C17A1"/>
    <w:rsid w:val="002C1896"/>
    <w:rsid w:val="002C4290"/>
    <w:rsid w:val="002C45BC"/>
    <w:rsid w:val="002C4609"/>
    <w:rsid w:val="002C4D06"/>
    <w:rsid w:val="002C4DAC"/>
    <w:rsid w:val="002C5245"/>
    <w:rsid w:val="002C54A3"/>
    <w:rsid w:val="002C5902"/>
    <w:rsid w:val="002C5FE2"/>
    <w:rsid w:val="002C76D3"/>
    <w:rsid w:val="002D007B"/>
    <w:rsid w:val="002D218E"/>
    <w:rsid w:val="002D24B7"/>
    <w:rsid w:val="002D261E"/>
    <w:rsid w:val="002D2E91"/>
    <w:rsid w:val="002D38CB"/>
    <w:rsid w:val="002D3E95"/>
    <w:rsid w:val="002D3FA6"/>
    <w:rsid w:val="002D431F"/>
    <w:rsid w:val="002D4B35"/>
    <w:rsid w:val="002D4F6F"/>
    <w:rsid w:val="002D5365"/>
    <w:rsid w:val="002D56DD"/>
    <w:rsid w:val="002D6809"/>
    <w:rsid w:val="002D71F0"/>
    <w:rsid w:val="002D76B1"/>
    <w:rsid w:val="002E1C94"/>
    <w:rsid w:val="002E1ED6"/>
    <w:rsid w:val="002E3069"/>
    <w:rsid w:val="002E30DD"/>
    <w:rsid w:val="002E3FF0"/>
    <w:rsid w:val="002E4611"/>
    <w:rsid w:val="002E481B"/>
    <w:rsid w:val="002E5323"/>
    <w:rsid w:val="002E588F"/>
    <w:rsid w:val="002E7037"/>
    <w:rsid w:val="002E76B3"/>
    <w:rsid w:val="002F101F"/>
    <w:rsid w:val="002F37BF"/>
    <w:rsid w:val="002F4B2F"/>
    <w:rsid w:val="002F4D05"/>
    <w:rsid w:val="002F5759"/>
    <w:rsid w:val="002F5AC8"/>
    <w:rsid w:val="002F6488"/>
    <w:rsid w:val="002F64BC"/>
    <w:rsid w:val="002F6990"/>
    <w:rsid w:val="002F69BF"/>
    <w:rsid w:val="002F6D5A"/>
    <w:rsid w:val="002F6D93"/>
    <w:rsid w:val="002F7E0F"/>
    <w:rsid w:val="00301434"/>
    <w:rsid w:val="00301D5A"/>
    <w:rsid w:val="00302104"/>
    <w:rsid w:val="00302CD0"/>
    <w:rsid w:val="00303C25"/>
    <w:rsid w:val="003059BC"/>
    <w:rsid w:val="00305F84"/>
    <w:rsid w:val="0030707B"/>
    <w:rsid w:val="00307264"/>
    <w:rsid w:val="00307361"/>
    <w:rsid w:val="00307724"/>
    <w:rsid w:val="003102AB"/>
    <w:rsid w:val="0031046A"/>
    <w:rsid w:val="003121FD"/>
    <w:rsid w:val="00312759"/>
    <w:rsid w:val="00312B89"/>
    <w:rsid w:val="00312FF5"/>
    <w:rsid w:val="003134EF"/>
    <w:rsid w:val="00317C24"/>
    <w:rsid w:val="00320380"/>
    <w:rsid w:val="0032049F"/>
    <w:rsid w:val="00320839"/>
    <w:rsid w:val="003212BF"/>
    <w:rsid w:val="003213F9"/>
    <w:rsid w:val="00321A78"/>
    <w:rsid w:val="00323DBF"/>
    <w:rsid w:val="003242F2"/>
    <w:rsid w:val="00324A51"/>
    <w:rsid w:val="003258C8"/>
    <w:rsid w:val="00325E1B"/>
    <w:rsid w:val="00326089"/>
    <w:rsid w:val="00326D85"/>
    <w:rsid w:val="003309A8"/>
    <w:rsid w:val="003310A0"/>
    <w:rsid w:val="0033160F"/>
    <w:rsid w:val="00331C7B"/>
    <w:rsid w:val="00332B12"/>
    <w:rsid w:val="00333798"/>
    <w:rsid w:val="00334909"/>
    <w:rsid w:val="00335CC0"/>
    <w:rsid w:val="0033634B"/>
    <w:rsid w:val="0033714A"/>
    <w:rsid w:val="00341C5A"/>
    <w:rsid w:val="0034289D"/>
    <w:rsid w:val="0034299A"/>
    <w:rsid w:val="00343113"/>
    <w:rsid w:val="00343220"/>
    <w:rsid w:val="003432E1"/>
    <w:rsid w:val="003456C4"/>
    <w:rsid w:val="00345DB5"/>
    <w:rsid w:val="00345F1B"/>
    <w:rsid w:val="003474BA"/>
    <w:rsid w:val="0035030F"/>
    <w:rsid w:val="00350695"/>
    <w:rsid w:val="003509A6"/>
    <w:rsid w:val="00350C00"/>
    <w:rsid w:val="00351912"/>
    <w:rsid w:val="00351B07"/>
    <w:rsid w:val="0035226A"/>
    <w:rsid w:val="003522A3"/>
    <w:rsid w:val="00352CF2"/>
    <w:rsid w:val="00353B79"/>
    <w:rsid w:val="00353E32"/>
    <w:rsid w:val="00354EEC"/>
    <w:rsid w:val="00355142"/>
    <w:rsid w:val="003563B9"/>
    <w:rsid w:val="0035791A"/>
    <w:rsid w:val="00360F54"/>
    <w:rsid w:val="00362F3F"/>
    <w:rsid w:val="00364841"/>
    <w:rsid w:val="00364E4F"/>
    <w:rsid w:val="003652C9"/>
    <w:rsid w:val="00365D56"/>
    <w:rsid w:val="003668F5"/>
    <w:rsid w:val="00366F61"/>
    <w:rsid w:val="00367BE1"/>
    <w:rsid w:val="00367FF8"/>
    <w:rsid w:val="0037001C"/>
    <w:rsid w:val="00371B29"/>
    <w:rsid w:val="00371FE6"/>
    <w:rsid w:val="00372299"/>
    <w:rsid w:val="00372754"/>
    <w:rsid w:val="003730C7"/>
    <w:rsid w:val="00374977"/>
    <w:rsid w:val="0037586D"/>
    <w:rsid w:val="00375A95"/>
    <w:rsid w:val="003760BF"/>
    <w:rsid w:val="0037656B"/>
    <w:rsid w:val="00376B8B"/>
    <w:rsid w:val="00376F34"/>
    <w:rsid w:val="003774AC"/>
    <w:rsid w:val="00377798"/>
    <w:rsid w:val="00377946"/>
    <w:rsid w:val="0038003B"/>
    <w:rsid w:val="0038027C"/>
    <w:rsid w:val="003808C2"/>
    <w:rsid w:val="00380AED"/>
    <w:rsid w:val="0038105B"/>
    <w:rsid w:val="003812B5"/>
    <w:rsid w:val="00381442"/>
    <w:rsid w:val="00381451"/>
    <w:rsid w:val="00382746"/>
    <w:rsid w:val="00382B41"/>
    <w:rsid w:val="0038530F"/>
    <w:rsid w:val="00386BC1"/>
    <w:rsid w:val="00386FFC"/>
    <w:rsid w:val="0038749F"/>
    <w:rsid w:val="0038756B"/>
    <w:rsid w:val="0038795D"/>
    <w:rsid w:val="0039031C"/>
    <w:rsid w:val="00390EE2"/>
    <w:rsid w:val="00390FB2"/>
    <w:rsid w:val="00391769"/>
    <w:rsid w:val="00392E3F"/>
    <w:rsid w:val="00393DCE"/>
    <w:rsid w:val="003953E1"/>
    <w:rsid w:val="003956B3"/>
    <w:rsid w:val="00395FD8"/>
    <w:rsid w:val="00396B08"/>
    <w:rsid w:val="00396F9D"/>
    <w:rsid w:val="00397961"/>
    <w:rsid w:val="003A0073"/>
    <w:rsid w:val="003A2DE7"/>
    <w:rsid w:val="003A34E0"/>
    <w:rsid w:val="003A3576"/>
    <w:rsid w:val="003A3DC4"/>
    <w:rsid w:val="003A3FAD"/>
    <w:rsid w:val="003A6023"/>
    <w:rsid w:val="003A6039"/>
    <w:rsid w:val="003A6290"/>
    <w:rsid w:val="003A68BE"/>
    <w:rsid w:val="003A6D3D"/>
    <w:rsid w:val="003A746B"/>
    <w:rsid w:val="003A7A21"/>
    <w:rsid w:val="003A7F22"/>
    <w:rsid w:val="003B1531"/>
    <w:rsid w:val="003B1805"/>
    <w:rsid w:val="003B1F0D"/>
    <w:rsid w:val="003B22F5"/>
    <w:rsid w:val="003B2826"/>
    <w:rsid w:val="003B3229"/>
    <w:rsid w:val="003B3C9D"/>
    <w:rsid w:val="003B3CF3"/>
    <w:rsid w:val="003B4782"/>
    <w:rsid w:val="003B4F9A"/>
    <w:rsid w:val="003B55A7"/>
    <w:rsid w:val="003B60DB"/>
    <w:rsid w:val="003B6AA1"/>
    <w:rsid w:val="003B78E0"/>
    <w:rsid w:val="003B7B16"/>
    <w:rsid w:val="003C136B"/>
    <w:rsid w:val="003C19F8"/>
    <w:rsid w:val="003C210D"/>
    <w:rsid w:val="003C24EC"/>
    <w:rsid w:val="003C25EE"/>
    <w:rsid w:val="003C4969"/>
    <w:rsid w:val="003C4AF3"/>
    <w:rsid w:val="003C76DB"/>
    <w:rsid w:val="003C7C87"/>
    <w:rsid w:val="003D02AA"/>
    <w:rsid w:val="003D0797"/>
    <w:rsid w:val="003D0DB8"/>
    <w:rsid w:val="003D318C"/>
    <w:rsid w:val="003D331C"/>
    <w:rsid w:val="003D33EB"/>
    <w:rsid w:val="003D356D"/>
    <w:rsid w:val="003D35C3"/>
    <w:rsid w:val="003D3AD4"/>
    <w:rsid w:val="003D4020"/>
    <w:rsid w:val="003D4041"/>
    <w:rsid w:val="003D4A49"/>
    <w:rsid w:val="003D4B55"/>
    <w:rsid w:val="003D5BC8"/>
    <w:rsid w:val="003D7A52"/>
    <w:rsid w:val="003D7DDD"/>
    <w:rsid w:val="003D7ED4"/>
    <w:rsid w:val="003E0B14"/>
    <w:rsid w:val="003E1521"/>
    <w:rsid w:val="003E2151"/>
    <w:rsid w:val="003E242D"/>
    <w:rsid w:val="003E2A27"/>
    <w:rsid w:val="003E3886"/>
    <w:rsid w:val="003E3CFE"/>
    <w:rsid w:val="003E41D5"/>
    <w:rsid w:val="003E46BA"/>
    <w:rsid w:val="003E552C"/>
    <w:rsid w:val="003E5E8D"/>
    <w:rsid w:val="003E6005"/>
    <w:rsid w:val="003E6194"/>
    <w:rsid w:val="003E63E6"/>
    <w:rsid w:val="003E6D6F"/>
    <w:rsid w:val="003E70EA"/>
    <w:rsid w:val="003E72EF"/>
    <w:rsid w:val="003E7A11"/>
    <w:rsid w:val="003E7D22"/>
    <w:rsid w:val="003F117F"/>
    <w:rsid w:val="003F1DDA"/>
    <w:rsid w:val="003F212E"/>
    <w:rsid w:val="003F2212"/>
    <w:rsid w:val="003F3AD8"/>
    <w:rsid w:val="003F5A58"/>
    <w:rsid w:val="003F5DD4"/>
    <w:rsid w:val="003F5EDE"/>
    <w:rsid w:val="003F697F"/>
    <w:rsid w:val="003F7288"/>
    <w:rsid w:val="003F738B"/>
    <w:rsid w:val="003F74C1"/>
    <w:rsid w:val="004010BD"/>
    <w:rsid w:val="004015CD"/>
    <w:rsid w:val="004037E5"/>
    <w:rsid w:val="00403988"/>
    <w:rsid w:val="00403A34"/>
    <w:rsid w:val="004043C7"/>
    <w:rsid w:val="0040503D"/>
    <w:rsid w:val="0040536E"/>
    <w:rsid w:val="004057AA"/>
    <w:rsid w:val="00405978"/>
    <w:rsid w:val="00405AAF"/>
    <w:rsid w:val="00405B1A"/>
    <w:rsid w:val="00406121"/>
    <w:rsid w:val="004061FC"/>
    <w:rsid w:val="00407A98"/>
    <w:rsid w:val="00410B0E"/>
    <w:rsid w:val="00410C76"/>
    <w:rsid w:val="00411907"/>
    <w:rsid w:val="00412443"/>
    <w:rsid w:val="004135E5"/>
    <w:rsid w:val="00413B3F"/>
    <w:rsid w:val="00413B81"/>
    <w:rsid w:val="00413CA8"/>
    <w:rsid w:val="0041686A"/>
    <w:rsid w:val="00416A3C"/>
    <w:rsid w:val="00416B1C"/>
    <w:rsid w:val="00416C45"/>
    <w:rsid w:val="00417EE3"/>
    <w:rsid w:val="004204BA"/>
    <w:rsid w:val="004207EB"/>
    <w:rsid w:val="00422097"/>
    <w:rsid w:val="00422FE7"/>
    <w:rsid w:val="00424B81"/>
    <w:rsid w:val="00425314"/>
    <w:rsid w:val="004258DA"/>
    <w:rsid w:val="00425BDC"/>
    <w:rsid w:val="00426B4B"/>
    <w:rsid w:val="00427A5D"/>
    <w:rsid w:val="00430885"/>
    <w:rsid w:val="0043137D"/>
    <w:rsid w:val="004317CD"/>
    <w:rsid w:val="00431A14"/>
    <w:rsid w:val="0043378A"/>
    <w:rsid w:val="00433A42"/>
    <w:rsid w:val="00433A72"/>
    <w:rsid w:val="00433AA8"/>
    <w:rsid w:val="00433FDA"/>
    <w:rsid w:val="004344AB"/>
    <w:rsid w:val="00434B5A"/>
    <w:rsid w:val="00435157"/>
    <w:rsid w:val="004369A4"/>
    <w:rsid w:val="00436E3F"/>
    <w:rsid w:val="00436EAC"/>
    <w:rsid w:val="00436FA1"/>
    <w:rsid w:val="00437159"/>
    <w:rsid w:val="00437276"/>
    <w:rsid w:val="00437D19"/>
    <w:rsid w:val="0044018E"/>
    <w:rsid w:val="004402B6"/>
    <w:rsid w:val="004403D2"/>
    <w:rsid w:val="00441598"/>
    <w:rsid w:val="004417AB"/>
    <w:rsid w:val="00442725"/>
    <w:rsid w:val="00444596"/>
    <w:rsid w:val="004451A9"/>
    <w:rsid w:val="004453EF"/>
    <w:rsid w:val="00446485"/>
    <w:rsid w:val="00446941"/>
    <w:rsid w:val="00452134"/>
    <w:rsid w:val="00452601"/>
    <w:rsid w:val="00452C43"/>
    <w:rsid w:val="00454895"/>
    <w:rsid w:val="00456854"/>
    <w:rsid w:val="00456B54"/>
    <w:rsid w:val="0045729A"/>
    <w:rsid w:val="00457B2D"/>
    <w:rsid w:val="00460C75"/>
    <w:rsid w:val="004613DE"/>
    <w:rsid w:val="00463878"/>
    <w:rsid w:val="00464643"/>
    <w:rsid w:val="00464B7E"/>
    <w:rsid w:val="00464CAD"/>
    <w:rsid w:val="00465017"/>
    <w:rsid w:val="004657C1"/>
    <w:rsid w:val="00466D35"/>
    <w:rsid w:val="00466ED2"/>
    <w:rsid w:val="00467BE9"/>
    <w:rsid w:val="00467FF2"/>
    <w:rsid w:val="004707B3"/>
    <w:rsid w:val="0047084E"/>
    <w:rsid w:val="00470857"/>
    <w:rsid w:val="00470868"/>
    <w:rsid w:val="00470B9B"/>
    <w:rsid w:val="00470BDA"/>
    <w:rsid w:val="004719F5"/>
    <w:rsid w:val="00473D97"/>
    <w:rsid w:val="00473E60"/>
    <w:rsid w:val="00474C5C"/>
    <w:rsid w:val="004753DE"/>
    <w:rsid w:val="00476AD1"/>
    <w:rsid w:val="004808C8"/>
    <w:rsid w:val="004842CD"/>
    <w:rsid w:val="00485197"/>
    <w:rsid w:val="00486793"/>
    <w:rsid w:val="00486AD5"/>
    <w:rsid w:val="00487084"/>
    <w:rsid w:val="004875E3"/>
    <w:rsid w:val="00490AD4"/>
    <w:rsid w:val="00490D34"/>
    <w:rsid w:val="00491D93"/>
    <w:rsid w:val="004930F2"/>
    <w:rsid w:val="00493A0F"/>
    <w:rsid w:val="004944C0"/>
    <w:rsid w:val="00494BF8"/>
    <w:rsid w:val="0049526C"/>
    <w:rsid w:val="004956E2"/>
    <w:rsid w:val="004957B5"/>
    <w:rsid w:val="00495BDD"/>
    <w:rsid w:val="0049613A"/>
    <w:rsid w:val="00497C78"/>
    <w:rsid w:val="004A0E7D"/>
    <w:rsid w:val="004A1693"/>
    <w:rsid w:val="004A2037"/>
    <w:rsid w:val="004A293D"/>
    <w:rsid w:val="004A32D3"/>
    <w:rsid w:val="004A3471"/>
    <w:rsid w:val="004A3EBD"/>
    <w:rsid w:val="004A4B29"/>
    <w:rsid w:val="004A67D7"/>
    <w:rsid w:val="004A75F5"/>
    <w:rsid w:val="004A7E09"/>
    <w:rsid w:val="004B0359"/>
    <w:rsid w:val="004B067A"/>
    <w:rsid w:val="004B1098"/>
    <w:rsid w:val="004B1381"/>
    <w:rsid w:val="004B14C3"/>
    <w:rsid w:val="004B17A9"/>
    <w:rsid w:val="004B1952"/>
    <w:rsid w:val="004B2C93"/>
    <w:rsid w:val="004B3ADA"/>
    <w:rsid w:val="004B4889"/>
    <w:rsid w:val="004B4FD8"/>
    <w:rsid w:val="004B5785"/>
    <w:rsid w:val="004B5B62"/>
    <w:rsid w:val="004B60F1"/>
    <w:rsid w:val="004B74D9"/>
    <w:rsid w:val="004B7829"/>
    <w:rsid w:val="004B79D3"/>
    <w:rsid w:val="004B7A67"/>
    <w:rsid w:val="004C035B"/>
    <w:rsid w:val="004C0D31"/>
    <w:rsid w:val="004C16CB"/>
    <w:rsid w:val="004C24D7"/>
    <w:rsid w:val="004C2CE7"/>
    <w:rsid w:val="004C3A50"/>
    <w:rsid w:val="004C47EC"/>
    <w:rsid w:val="004C4EBB"/>
    <w:rsid w:val="004C6004"/>
    <w:rsid w:val="004C621B"/>
    <w:rsid w:val="004C6359"/>
    <w:rsid w:val="004C63E8"/>
    <w:rsid w:val="004C7E51"/>
    <w:rsid w:val="004D03F0"/>
    <w:rsid w:val="004D18D1"/>
    <w:rsid w:val="004D1CE3"/>
    <w:rsid w:val="004D1DCA"/>
    <w:rsid w:val="004D4342"/>
    <w:rsid w:val="004D4657"/>
    <w:rsid w:val="004D4C79"/>
    <w:rsid w:val="004D57B9"/>
    <w:rsid w:val="004D62A6"/>
    <w:rsid w:val="004D6DD7"/>
    <w:rsid w:val="004D7EF5"/>
    <w:rsid w:val="004E00FB"/>
    <w:rsid w:val="004E022C"/>
    <w:rsid w:val="004E06D0"/>
    <w:rsid w:val="004E1E58"/>
    <w:rsid w:val="004E399A"/>
    <w:rsid w:val="004E43E3"/>
    <w:rsid w:val="004E4686"/>
    <w:rsid w:val="004E4E7D"/>
    <w:rsid w:val="004E6617"/>
    <w:rsid w:val="004E6BA0"/>
    <w:rsid w:val="004E6BBC"/>
    <w:rsid w:val="004E6DAA"/>
    <w:rsid w:val="004E7B6B"/>
    <w:rsid w:val="004F0730"/>
    <w:rsid w:val="004F0958"/>
    <w:rsid w:val="004F0CDB"/>
    <w:rsid w:val="004F4D2A"/>
    <w:rsid w:val="004F4F98"/>
    <w:rsid w:val="004F51F5"/>
    <w:rsid w:val="004F5AE1"/>
    <w:rsid w:val="004F60E8"/>
    <w:rsid w:val="004F623E"/>
    <w:rsid w:val="004F69F6"/>
    <w:rsid w:val="004F7732"/>
    <w:rsid w:val="004F79AC"/>
    <w:rsid w:val="005017CF"/>
    <w:rsid w:val="00501CA4"/>
    <w:rsid w:val="0050216F"/>
    <w:rsid w:val="00503B6D"/>
    <w:rsid w:val="0050425A"/>
    <w:rsid w:val="00504441"/>
    <w:rsid w:val="00504ADD"/>
    <w:rsid w:val="005051C8"/>
    <w:rsid w:val="0050545B"/>
    <w:rsid w:val="005058CB"/>
    <w:rsid w:val="00505D3C"/>
    <w:rsid w:val="005065EB"/>
    <w:rsid w:val="00506AA3"/>
    <w:rsid w:val="0050722F"/>
    <w:rsid w:val="0050764A"/>
    <w:rsid w:val="00510877"/>
    <w:rsid w:val="00511E5A"/>
    <w:rsid w:val="00513DCB"/>
    <w:rsid w:val="00514218"/>
    <w:rsid w:val="005147B0"/>
    <w:rsid w:val="00514A2A"/>
    <w:rsid w:val="0051567E"/>
    <w:rsid w:val="0051596D"/>
    <w:rsid w:val="0051605E"/>
    <w:rsid w:val="00516135"/>
    <w:rsid w:val="00516888"/>
    <w:rsid w:val="00517412"/>
    <w:rsid w:val="0051780C"/>
    <w:rsid w:val="0052069D"/>
    <w:rsid w:val="005207D8"/>
    <w:rsid w:val="005227C5"/>
    <w:rsid w:val="00522E4F"/>
    <w:rsid w:val="00522F40"/>
    <w:rsid w:val="0052382B"/>
    <w:rsid w:val="00524263"/>
    <w:rsid w:val="00524503"/>
    <w:rsid w:val="005255DA"/>
    <w:rsid w:val="00525FEA"/>
    <w:rsid w:val="0052686A"/>
    <w:rsid w:val="00526D2D"/>
    <w:rsid w:val="0052725C"/>
    <w:rsid w:val="0053010D"/>
    <w:rsid w:val="00531466"/>
    <w:rsid w:val="00531C3A"/>
    <w:rsid w:val="00533897"/>
    <w:rsid w:val="0053464E"/>
    <w:rsid w:val="00534FF5"/>
    <w:rsid w:val="00535BC5"/>
    <w:rsid w:val="00535D1D"/>
    <w:rsid w:val="00535E77"/>
    <w:rsid w:val="00535EE7"/>
    <w:rsid w:val="005407CE"/>
    <w:rsid w:val="0054096A"/>
    <w:rsid w:val="005412F5"/>
    <w:rsid w:val="005419C5"/>
    <w:rsid w:val="00541E72"/>
    <w:rsid w:val="00542314"/>
    <w:rsid w:val="005424B3"/>
    <w:rsid w:val="0054272D"/>
    <w:rsid w:val="0054350A"/>
    <w:rsid w:val="00543FC9"/>
    <w:rsid w:val="0054400A"/>
    <w:rsid w:val="00544390"/>
    <w:rsid w:val="005449E1"/>
    <w:rsid w:val="00545063"/>
    <w:rsid w:val="00545F14"/>
    <w:rsid w:val="005467C4"/>
    <w:rsid w:val="00547E40"/>
    <w:rsid w:val="00547E4F"/>
    <w:rsid w:val="0055212B"/>
    <w:rsid w:val="00552334"/>
    <w:rsid w:val="00552733"/>
    <w:rsid w:val="00552E06"/>
    <w:rsid w:val="00553309"/>
    <w:rsid w:val="0055387C"/>
    <w:rsid w:val="00554E2F"/>
    <w:rsid w:val="0055550A"/>
    <w:rsid w:val="00556788"/>
    <w:rsid w:val="00556C88"/>
    <w:rsid w:val="00557E56"/>
    <w:rsid w:val="00560DAD"/>
    <w:rsid w:val="00560FB6"/>
    <w:rsid w:val="00561DA4"/>
    <w:rsid w:val="00561ED7"/>
    <w:rsid w:val="0056223D"/>
    <w:rsid w:val="005628A6"/>
    <w:rsid w:val="00562917"/>
    <w:rsid w:val="00562C72"/>
    <w:rsid w:val="00563745"/>
    <w:rsid w:val="00563BD2"/>
    <w:rsid w:val="0056507C"/>
    <w:rsid w:val="00567CD2"/>
    <w:rsid w:val="00570424"/>
    <w:rsid w:val="00570F77"/>
    <w:rsid w:val="00573661"/>
    <w:rsid w:val="0057396E"/>
    <w:rsid w:val="00574FB5"/>
    <w:rsid w:val="00575830"/>
    <w:rsid w:val="00576A85"/>
    <w:rsid w:val="005773DE"/>
    <w:rsid w:val="00580B65"/>
    <w:rsid w:val="005816DF"/>
    <w:rsid w:val="00581703"/>
    <w:rsid w:val="00582A35"/>
    <w:rsid w:val="0058360D"/>
    <w:rsid w:val="005840D1"/>
    <w:rsid w:val="00584650"/>
    <w:rsid w:val="00584AB5"/>
    <w:rsid w:val="00585465"/>
    <w:rsid w:val="00585CAD"/>
    <w:rsid w:val="00586228"/>
    <w:rsid w:val="005865BA"/>
    <w:rsid w:val="005867DF"/>
    <w:rsid w:val="005875B2"/>
    <w:rsid w:val="00587C21"/>
    <w:rsid w:val="00587ECB"/>
    <w:rsid w:val="00590395"/>
    <w:rsid w:val="00590B62"/>
    <w:rsid w:val="00590BEE"/>
    <w:rsid w:val="00590DDC"/>
    <w:rsid w:val="005928F3"/>
    <w:rsid w:val="00592C34"/>
    <w:rsid w:val="00592E87"/>
    <w:rsid w:val="00593108"/>
    <w:rsid w:val="0059337E"/>
    <w:rsid w:val="005946BE"/>
    <w:rsid w:val="005947CA"/>
    <w:rsid w:val="0059530D"/>
    <w:rsid w:val="0059589A"/>
    <w:rsid w:val="00595C8A"/>
    <w:rsid w:val="005973D5"/>
    <w:rsid w:val="005A064E"/>
    <w:rsid w:val="005A1D97"/>
    <w:rsid w:val="005A324E"/>
    <w:rsid w:val="005A3FB6"/>
    <w:rsid w:val="005A402D"/>
    <w:rsid w:val="005A4112"/>
    <w:rsid w:val="005A4BD6"/>
    <w:rsid w:val="005A4CF8"/>
    <w:rsid w:val="005A58F3"/>
    <w:rsid w:val="005A644E"/>
    <w:rsid w:val="005A6CFF"/>
    <w:rsid w:val="005B09CA"/>
    <w:rsid w:val="005B114C"/>
    <w:rsid w:val="005B128B"/>
    <w:rsid w:val="005B1303"/>
    <w:rsid w:val="005B190D"/>
    <w:rsid w:val="005B1D9E"/>
    <w:rsid w:val="005B2C32"/>
    <w:rsid w:val="005B45FD"/>
    <w:rsid w:val="005B4884"/>
    <w:rsid w:val="005B5238"/>
    <w:rsid w:val="005B5402"/>
    <w:rsid w:val="005B56C4"/>
    <w:rsid w:val="005B57DE"/>
    <w:rsid w:val="005B6322"/>
    <w:rsid w:val="005B67B3"/>
    <w:rsid w:val="005B684E"/>
    <w:rsid w:val="005B6AF4"/>
    <w:rsid w:val="005B7600"/>
    <w:rsid w:val="005B7797"/>
    <w:rsid w:val="005B7A73"/>
    <w:rsid w:val="005C0357"/>
    <w:rsid w:val="005C04CB"/>
    <w:rsid w:val="005C08DF"/>
    <w:rsid w:val="005C0AFB"/>
    <w:rsid w:val="005C1035"/>
    <w:rsid w:val="005C1282"/>
    <w:rsid w:val="005C2F1A"/>
    <w:rsid w:val="005C3C24"/>
    <w:rsid w:val="005C3E76"/>
    <w:rsid w:val="005C4EBB"/>
    <w:rsid w:val="005C5C70"/>
    <w:rsid w:val="005C6404"/>
    <w:rsid w:val="005C6CA5"/>
    <w:rsid w:val="005C777F"/>
    <w:rsid w:val="005C7A11"/>
    <w:rsid w:val="005D0D15"/>
    <w:rsid w:val="005D16AD"/>
    <w:rsid w:val="005D1B0A"/>
    <w:rsid w:val="005D2114"/>
    <w:rsid w:val="005D23AD"/>
    <w:rsid w:val="005D2457"/>
    <w:rsid w:val="005D2F8F"/>
    <w:rsid w:val="005D31C5"/>
    <w:rsid w:val="005D3572"/>
    <w:rsid w:val="005D3BB2"/>
    <w:rsid w:val="005D3E28"/>
    <w:rsid w:val="005D430A"/>
    <w:rsid w:val="005D5F5E"/>
    <w:rsid w:val="005D5F60"/>
    <w:rsid w:val="005D72E1"/>
    <w:rsid w:val="005D7DED"/>
    <w:rsid w:val="005E13BF"/>
    <w:rsid w:val="005E171A"/>
    <w:rsid w:val="005E185A"/>
    <w:rsid w:val="005E2BA4"/>
    <w:rsid w:val="005E3482"/>
    <w:rsid w:val="005E3660"/>
    <w:rsid w:val="005E49B3"/>
    <w:rsid w:val="005E4A7C"/>
    <w:rsid w:val="005E6418"/>
    <w:rsid w:val="005E6E16"/>
    <w:rsid w:val="005E6E9B"/>
    <w:rsid w:val="005E6EFB"/>
    <w:rsid w:val="005F0442"/>
    <w:rsid w:val="005F1FC4"/>
    <w:rsid w:val="005F2606"/>
    <w:rsid w:val="005F2A78"/>
    <w:rsid w:val="005F400E"/>
    <w:rsid w:val="005F5B5F"/>
    <w:rsid w:val="005F5D27"/>
    <w:rsid w:val="005F6B4F"/>
    <w:rsid w:val="005F6B7F"/>
    <w:rsid w:val="005F7342"/>
    <w:rsid w:val="005F758F"/>
    <w:rsid w:val="00600212"/>
    <w:rsid w:val="00600D1A"/>
    <w:rsid w:val="0060136F"/>
    <w:rsid w:val="00601FDB"/>
    <w:rsid w:val="00602031"/>
    <w:rsid w:val="00602371"/>
    <w:rsid w:val="00602886"/>
    <w:rsid w:val="00602D6C"/>
    <w:rsid w:val="006032CB"/>
    <w:rsid w:val="00603A08"/>
    <w:rsid w:val="00604CD0"/>
    <w:rsid w:val="006055FF"/>
    <w:rsid w:val="0060639F"/>
    <w:rsid w:val="00606B57"/>
    <w:rsid w:val="00606B6D"/>
    <w:rsid w:val="00607EC6"/>
    <w:rsid w:val="00610117"/>
    <w:rsid w:val="006108F5"/>
    <w:rsid w:val="00610A3C"/>
    <w:rsid w:val="0061188A"/>
    <w:rsid w:val="00611E6B"/>
    <w:rsid w:val="00611F96"/>
    <w:rsid w:val="0061394C"/>
    <w:rsid w:val="00614066"/>
    <w:rsid w:val="00614898"/>
    <w:rsid w:val="0061507B"/>
    <w:rsid w:val="00615704"/>
    <w:rsid w:val="00616BDD"/>
    <w:rsid w:val="00617212"/>
    <w:rsid w:val="0062178B"/>
    <w:rsid w:val="00624C83"/>
    <w:rsid w:val="0062541B"/>
    <w:rsid w:val="00625985"/>
    <w:rsid w:val="00625B5C"/>
    <w:rsid w:val="00627814"/>
    <w:rsid w:val="00627DE3"/>
    <w:rsid w:val="00627F48"/>
    <w:rsid w:val="00630172"/>
    <w:rsid w:val="00630C23"/>
    <w:rsid w:val="0063166E"/>
    <w:rsid w:val="00633CF8"/>
    <w:rsid w:val="00633DC5"/>
    <w:rsid w:val="00635015"/>
    <w:rsid w:val="00635800"/>
    <w:rsid w:val="00636406"/>
    <w:rsid w:val="0063643B"/>
    <w:rsid w:val="00637243"/>
    <w:rsid w:val="0063724D"/>
    <w:rsid w:val="00637AC2"/>
    <w:rsid w:val="006403FA"/>
    <w:rsid w:val="006415FA"/>
    <w:rsid w:val="00641643"/>
    <w:rsid w:val="00642413"/>
    <w:rsid w:val="00643060"/>
    <w:rsid w:val="006430DD"/>
    <w:rsid w:val="00643A26"/>
    <w:rsid w:val="00643D54"/>
    <w:rsid w:val="006455F9"/>
    <w:rsid w:val="00645D76"/>
    <w:rsid w:val="006460AB"/>
    <w:rsid w:val="00646109"/>
    <w:rsid w:val="00646D37"/>
    <w:rsid w:val="00646DD8"/>
    <w:rsid w:val="00647C7D"/>
    <w:rsid w:val="00650893"/>
    <w:rsid w:val="00650949"/>
    <w:rsid w:val="00650E96"/>
    <w:rsid w:val="006518BC"/>
    <w:rsid w:val="00651B65"/>
    <w:rsid w:val="00653DB8"/>
    <w:rsid w:val="006545FC"/>
    <w:rsid w:val="006554A4"/>
    <w:rsid w:val="006561FE"/>
    <w:rsid w:val="00656411"/>
    <w:rsid w:val="0065711E"/>
    <w:rsid w:val="00657949"/>
    <w:rsid w:val="00657C67"/>
    <w:rsid w:val="00660284"/>
    <w:rsid w:val="00660E94"/>
    <w:rsid w:val="00663C81"/>
    <w:rsid w:val="00663FCF"/>
    <w:rsid w:val="00664CD8"/>
    <w:rsid w:val="00664F50"/>
    <w:rsid w:val="0066505F"/>
    <w:rsid w:val="006652A2"/>
    <w:rsid w:val="006656FD"/>
    <w:rsid w:val="00665CEB"/>
    <w:rsid w:val="00667CE0"/>
    <w:rsid w:val="006700AD"/>
    <w:rsid w:val="006708CB"/>
    <w:rsid w:val="0067208F"/>
    <w:rsid w:val="00673FA2"/>
    <w:rsid w:val="00674138"/>
    <w:rsid w:val="00674BC6"/>
    <w:rsid w:val="00674E6A"/>
    <w:rsid w:val="0067609B"/>
    <w:rsid w:val="00680C38"/>
    <w:rsid w:val="00682FFE"/>
    <w:rsid w:val="00683258"/>
    <w:rsid w:val="00683266"/>
    <w:rsid w:val="00683393"/>
    <w:rsid w:val="00684270"/>
    <w:rsid w:val="006847E3"/>
    <w:rsid w:val="00684EA1"/>
    <w:rsid w:val="00685042"/>
    <w:rsid w:val="00685D0D"/>
    <w:rsid w:val="006870CC"/>
    <w:rsid w:val="0068714D"/>
    <w:rsid w:val="00687507"/>
    <w:rsid w:val="00687626"/>
    <w:rsid w:val="006876F4"/>
    <w:rsid w:val="00690206"/>
    <w:rsid w:val="006902B8"/>
    <w:rsid w:val="00690971"/>
    <w:rsid w:val="0069169F"/>
    <w:rsid w:val="00692E4D"/>
    <w:rsid w:val="006931D3"/>
    <w:rsid w:val="006937FF"/>
    <w:rsid w:val="006939F4"/>
    <w:rsid w:val="00694F90"/>
    <w:rsid w:val="0069566E"/>
    <w:rsid w:val="006976A7"/>
    <w:rsid w:val="0069779D"/>
    <w:rsid w:val="006978B9"/>
    <w:rsid w:val="00697A3A"/>
    <w:rsid w:val="00697D3B"/>
    <w:rsid w:val="006A00AC"/>
    <w:rsid w:val="006A1094"/>
    <w:rsid w:val="006A11B1"/>
    <w:rsid w:val="006A1785"/>
    <w:rsid w:val="006A1E72"/>
    <w:rsid w:val="006A209C"/>
    <w:rsid w:val="006A3935"/>
    <w:rsid w:val="006A48A7"/>
    <w:rsid w:val="006A4AEA"/>
    <w:rsid w:val="006A4BA1"/>
    <w:rsid w:val="006A4EDE"/>
    <w:rsid w:val="006A50B6"/>
    <w:rsid w:val="006A690E"/>
    <w:rsid w:val="006A6F1A"/>
    <w:rsid w:val="006A7048"/>
    <w:rsid w:val="006A7229"/>
    <w:rsid w:val="006B058F"/>
    <w:rsid w:val="006B0BFF"/>
    <w:rsid w:val="006B0DAB"/>
    <w:rsid w:val="006B128D"/>
    <w:rsid w:val="006B1681"/>
    <w:rsid w:val="006B1B0C"/>
    <w:rsid w:val="006B1C97"/>
    <w:rsid w:val="006B1DBC"/>
    <w:rsid w:val="006B2378"/>
    <w:rsid w:val="006B2A6D"/>
    <w:rsid w:val="006B4541"/>
    <w:rsid w:val="006B4A37"/>
    <w:rsid w:val="006B4BA1"/>
    <w:rsid w:val="006B4C7E"/>
    <w:rsid w:val="006B5032"/>
    <w:rsid w:val="006B5C39"/>
    <w:rsid w:val="006B5EBE"/>
    <w:rsid w:val="006C07AB"/>
    <w:rsid w:val="006C11A4"/>
    <w:rsid w:val="006C11C7"/>
    <w:rsid w:val="006C1383"/>
    <w:rsid w:val="006C147C"/>
    <w:rsid w:val="006C17E4"/>
    <w:rsid w:val="006C1CBB"/>
    <w:rsid w:val="006C2195"/>
    <w:rsid w:val="006C2840"/>
    <w:rsid w:val="006C37CC"/>
    <w:rsid w:val="006C3EC7"/>
    <w:rsid w:val="006C4A20"/>
    <w:rsid w:val="006C4BED"/>
    <w:rsid w:val="006C4D5D"/>
    <w:rsid w:val="006C4E77"/>
    <w:rsid w:val="006C507E"/>
    <w:rsid w:val="006C519A"/>
    <w:rsid w:val="006C545B"/>
    <w:rsid w:val="006C5CF5"/>
    <w:rsid w:val="006C6133"/>
    <w:rsid w:val="006C621A"/>
    <w:rsid w:val="006D051E"/>
    <w:rsid w:val="006D1734"/>
    <w:rsid w:val="006D1883"/>
    <w:rsid w:val="006D1ADA"/>
    <w:rsid w:val="006D210A"/>
    <w:rsid w:val="006D231B"/>
    <w:rsid w:val="006D248F"/>
    <w:rsid w:val="006D278B"/>
    <w:rsid w:val="006D2B3D"/>
    <w:rsid w:val="006D2EBC"/>
    <w:rsid w:val="006D3F10"/>
    <w:rsid w:val="006D728C"/>
    <w:rsid w:val="006D7503"/>
    <w:rsid w:val="006D7875"/>
    <w:rsid w:val="006E02F9"/>
    <w:rsid w:val="006E18F5"/>
    <w:rsid w:val="006E1A3C"/>
    <w:rsid w:val="006E211E"/>
    <w:rsid w:val="006E3045"/>
    <w:rsid w:val="006E3150"/>
    <w:rsid w:val="006E33AF"/>
    <w:rsid w:val="006E47E8"/>
    <w:rsid w:val="006E4B18"/>
    <w:rsid w:val="006E4C4D"/>
    <w:rsid w:val="006E5831"/>
    <w:rsid w:val="006E5D9D"/>
    <w:rsid w:val="006F094A"/>
    <w:rsid w:val="006F09A8"/>
    <w:rsid w:val="006F0BE1"/>
    <w:rsid w:val="006F1321"/>
    <w:rsid w:val="006F160E"/>
    <w:rsid w:val="006F23B4"/>
    <w:rsid w:val="006F24D5"/>
    <w:rsid w:val="006F4A82"/>
    <w:rsid w:val="006F5DAE"/>
    <w:rsid w:val="006F608C"/>
    <w:rsid w:val="006F631B"/>
    <w:rsid w:val="006F7F55"/>
    <w:rsid w:val="007002EC"/>
    <w:rsid w:val="0070073B"/>
    <w:rsid w:val="007007A7"/>
    <w:rsid w:val="00700A84"/>
    <w:rsid w:val="00701E1C"/>
    <w:rsid w:val="00701E46"/>
    <w:rsid w:val="0070373B"/>
    <w:rsid w:val="00703D31"/>
    <w:rsid w:val="00705FD7"/>
    <w:rsid w:val="0070675E"/>
    <w:rsid w:val="007074A3"/>
    <w:rsid w:val="007105E6"/>
    <w:rsid w:val="00710EBE"/>
    <w:rsid w:val="00711923"/>
    <w:rsid w:val="00711C3E"/>
    <w:rsid w:val="00712E36"/>
    <w:rsid w:val="007133CB"/>
    <w:rsid w:val="007142CE"/>
    <w:rsid w:val="00714470"/>
    <w:rsid w:val="00714577"/>
    <w:rsid w:val="007147A9"/>
    <w:rsid w:val="00714EF2"/>
    <w:rsid w:val="0071515B"/>
    <w:rsid w:val="007152E9"/>
    <w:rsid w:val="00717091"/>
    <w:rsid w:val="00717E62"/>
    <w:rsid w:val="00721817"/>
    <w:rsid w:val="00722045"/>
    <w:rsid w:val="007226C0"/>
    <w:rsid w:val="0072282C"/>
    <w:rsid w:val="00723618"/>
    <w:rsid w:val="00723B6F"/>
    <w:rsid w:val="00724443"/>
    <w:rsid w:val="00724D8F"/>
    <w:rsid w:val="00724FA4"/>
    <w:rsid w:val="00725D13"/>
    <w:rsid w:val="00726705"/>
    <w:rsid w:val="00726D05"/>
    <w:rsid w:val="00726F51"/>
    <w:rsid w:val="00730800"/>
    <w:rsid w:val="00732E49"/>
    <w:rsid w:val="00733293"/>
    <w:rsid w:val="007338AA"/>
    <w:rsid w:val="007338EE"/>
    <w:rsid w:val="00734600"/>
    <w:rsid w:val="00734A5A"/>
    <w:rsid w:val="00735758"/>
    <w:rsid w:val="00741EE5"/>
    <w:rsid w:val="0074235E"/>
    <w:rsid w:val="007423B7"/>
    <w:rsid w:val="0074259A"/>
    <w:rsid w:val="007438A3"/>
    <w:rsid w:val="00743E45"/>
    <w:rsid w:val="00744BF4"/>
    <w:rsid w:val="00746F99"/>
    <w:rsid w:val="0075018B"/>
    <w:rsid w:val="00750562"/>
    <w:rsid w:val="00751341"/>
    <w:rsid w:val="007518B7"/>
    <w:rsid w:val="00751A78"/>
    <w:rsid w:val="00751C11"/>
    <w:rsid w:val="007528A4"/>
    <w:rsid w:val="00752CC1"/>
    <w:rsid w:val="00753294"/>
    <w:rsid w:val="0075334A"/>
    <w:rsid w:val="00754EDA"/>
    <w:rsid w:val="00755DAC"/>
    <w:rsid w:val="007560DA"/>
    <w:rsid w:val="007567E4"/>
    <w:rsid w:val="00756F30"/>
    <w:rsid w:val="00756F40"/>
    <w:rsid w:val="007602AA"/>
    <w:rsid w:val="007603B7"/>
    <w:rsid w:val="007610D5"/>
    <w:rsid w:val="00761530"/>
    <w:rsid w:val="00761A2A"/>
    <w:rsid w:val="00762206"/>
    <w:rsid w:val="007628B5"/>
    <w:rsid w:val="00762FA0"/>
    <w:rsid w:val="00763831"/>
    <w:rsid w:val="007652EF"/>
    <w:rsid w:val="00765ABC"/>
    <w:rsid w:val="0076707D"/>
    <w:rsid w:val="007678AF"/>
    <w:rsid w:val="00767FBC"/>
    <w:rsid w:val="00772BDC"/>
    <w:rsid w:val="00773020"/>
    <w:rsid w:val="00773CA4"/>
    <w:rsid w:val="00775272"/>
    <w:rsid w:val="00775E4B"/>
    <w:rsid w:val="00777025"/>
    <w:rsid w:val="00777BEC"/>
    <w:rsid w:val="00780792"/>
    <w:rsid w:val="00780F10"/>
    <w:rsid w:val="00781804"/>
    <w:rsid w:val="00782620"/>
    <w:rsid w:val="00782C14"/>
    <w:rsid w:val="00783AA3"/>
    <w:rsid w:val="00784A9F"/>
    <w:rsid w:val="00784B51"/>
    <w:rsid w:val="0078532D"/>
    <w:rsid w:val="00786027"/>
    <w:rsid w:val="00786BE0"/>
    <w:rsid w:val="00786D3B"/>
    <w:rsid w:val="0078704B"/>
    <w:rsid w:val="00787178"/>
    <w:rsid w:val="0079037A"/>
    <w:rsid w:val="0079198B"/>
    <w:rsid w:val="00791B65"/>
    <w:rsid w:val="00791C36"/>
    <w:rsid w:val="007925C8"/>
    <w:rsid w:val="0079333F"/>
    <w:rsid w:val="00793B01"/>
    <w:rsid w:val="00794DDB"/>
    <w:rsid w:val="00796562"/>
    <w:rsid w:val="0079662C"/>
    <w:rsid w:val="00797AF9"/>
    <w:rsid w:val="00797F46"/>
    <w:rsid w:val="007A06A6"/>
    <w:rsid w:val="007A14B5"/>
    <w:rsid w:val="007A1A7D"/>
    <w:rsid w:val="007A345D"/>
    <w:rsid w:val="007A44B4"/>
    <w:rsid w:val="007A45BF"/>
    <w:rsid w:val="007A4AB9"/>
    <w:rsid w:val="007A5538"/>
    <w:rsid w:val="007A55E8"/>
    <w:rsid w:val="007A5D7C"/>
    <w:rsid w:val="007A62D5"/>
    <w:rsid w:val="007A7795"/>
    <w:rsid w:val="007A7D3D"/>
    <w:rsid w:val="007B0A8E"/>
    <w:rsid w:val="007B0B03"/>
    <w:rsid w:val="007B12B7"/>
    <w:rsid w:val="007B130E"/>
    <w:rsid w:val="007B1FDE"/>
    <w:rsid w:val="007B225D"/>
    <w:rsid w:val="007B37AE"/>
    <w:rsid w:val="007B4397"/>
    <w:rsid w:val="007B5719"/>
    <w:rsid w:val="007B7556"/>
    <w:rsid w:val="007B7BDB"/>
    <w:rsid w:val="007B7DDB"/>
    <w:rsid w:val="007C0089"/>
    <w:rsid w:val="007C00EC"/>
    <w:rsid w:val="007C0202"/>
    <w:rsid w:val="007C059F"/>
    <w:rsid w:val="007C174F"/>
    <w:rsid w:val="007C18AB"/>
    <w:rsid w:val="007C1C64"/>
    <w:rsid w:val="007C2B71"/>
    <w:rsid w:val="007C3E15"/>
    <w:rsid w:val="007C45DD"/>
    <w:rsid w:val="007C4B85"/>
    <w:rsid w:val="007C7FA9"/>
    <w:rsid w:val="007D03EA"/>
    <w:rsid w:val="007D0F4F"/>
    <w:rsid w:val="007D10CA"/>
    <w:rsid w:val="007D3D6B"/>
    <w:rsid w:val="007D4B1E"/>
    <w:rsid w:val="007D4D40"/>
    <w:rsid w:val="007D5D68"/>
    <w:rsid w:val="007D6429"/>
    <w:rsid w:val="007D69AD"/>
    <w:rsid w:val="007D7140"/>
    <w:rsid w:val="007E009E"/>
    <w:rsid w:val="007E0FAA"/>
    <w:rsid w:val="007E162E"/>
    <w:rsid w:val="007E1AA1"/>
    <w:rsid w:val="007E1C9A"/>
    <w:rsid w:val="007E1D75"/>
    <w:rsid w:val="007E24FF"/>
    <w:rsid w:val="007E2D6D"/>
    <w:rsid w:val="007E3335"/>
    <w:rsid w:val="007E48BC"/>
    <w:rsid w:val="007E4C50"/>
    <w:rsid w:val="007E54FE"/>
    <w:rsid w:val="007E57A2"/>
    <w:rsid w:val="007E6360"/>
    <w:rsid w:val="007E6502"/>
    <w:rsid w:val="007E7167"/>
    <w:rsid w:val="007E79F7"/>
    <w:rsid w:val="007F08BD"/>
    <w:rsid w:val="007F09F0"/>
    <w:rsid w:val="007F1975"/>
    <w:rsid w:val="007F220B"/>
    <w:rsid w:val="007F2DE4"/>
    <w:rsid w:val="007F304A"/>
    <w:rsid w:val="007F34CD"/>
    <w:rsid w:val="007F3630"/>
    <w:rsid w:val="007F3D90"/>
    <w:rsid w:val="007F476A"/>
    <w:rsid w:val="007F4CBF"/>
    <w:rsid w:val="007F6AB8"/>
    <w:rsid w:val="007F7A23"/>
    <w:rsid w:val="007F7BD8"/>
    <w:rsid w:val="008013B7"/>
    <w:rsid w:val="0080255C"/>
    <w:rsid w:val="00804862"/>
    <w:rsid w:val="00806BC2"/>
    <w:rsid w:val="0080731C"/>
    <w:rsid w:val="00807559"/>
    <w:rsid w:val="00807AE7"/>
    <w:rsid w:val="00810105"/>
    <w:rsid w:val="00810B7C"/>
    <w:rsid w:val="008112AF"/>
    <w:rsid w:val="00811A46"/>
    <w:rsid w:val="0081219D"/>
    <w:rsid w:val="00812B52"/>
    <w:rsid w:val="00813E5B"/>
    <w:rsid w:val="0081451D"/>
    <w:rsid w:val="0081493D"/>
    <w:rsid w:val="00817823"/>
    <w:rsid w:val="00820E4F"/>
    <w:rsid w:val="00822D4D"/>
    <w:rsid w:val="00824D6F"/>
    <w:rsid w:val="00824F9C"/>
    <w:rsid w:val="008258D4"/>
    <w:rsid w:val="00826138"/>
    <w:rsid w:val="0082632C"/>
    <w:rsid w:val="00826BBA"/>
    <w:rsid w:val="00826C0E"/>
    <w:rsid w:val="008272DB"/>
    <w:rsid w:val="008275DA"/>
    <w:rsid w:val="00830751"/>
    <w:rsid w:val="00830BFA"/>
    <w:rsid w:val="00830EC9"/>
    <w:rsid w:val="00831747"/>
    <w:rsid w:val="008317BF"/>
    <w:rsid w:val="00831F56"/>
    <w:rsid w:val="00831FD5"/>
    <w:rsid w:val="00832480"/>
    <w:rsid w:val="0083289D"/>
    <w:rsid w:val="00832B22"/>
    <w:rsid w:val="008347A7"/>
    <w:rsid w:val="0083557C"/>
    <w:rsid w:val="00835DCF"/>
    <w:rsid w:val="00836C15"/>
    <w:rsid w:val="00837A41"/>
    <w:rsid w:val="0084056E"/>
    <w:rsid w:val="00840C03"/>
    <w:rsid w:val="0084154A"/>
    <w:rsid w:val="00841914"/>
    <w:rsid w:val="008434C8"/>
    <w:rsid w:val="008439A5"/>
    <w:rsid w:val="00843BB0"/>
    <w:rsid w:val="008446B9"/>
    <w:rsid w:val="008450BC"/>
    <w:rsid w:val="00845B21"/>
    <w:rsid w:val="00846A44"/>
    <w:rsid w:val="008478DE"/>
    <w:rsid w:val="008501CE"/>
    <w:rsid w:val="008508C0"/>
    <w:rsid w:val="00850B09"/>
    <w:rsid w:val="00852749"/>
    <w:rsid w:val="0085278A"/>
    <w:rsid w:val="0085308B"/>
    <w:rsid w:val="0085334B"/>
    <w:rsid w:val="0085341B"/>
    <w:rsid w:val="00853E96"/>
    <w:rsid w:val="008543EA"/>
    <w:rsid w:val="0085487E"/>
    <w:rsid w:val="00855FDD"/>
    <w:rsid w:val="00856F10"/>
    <w:rsid w:val="00857453"/>
    <w:rsid w:val="008578F7"/>
    <w:rsid w:val="00861BE3"/>
    <w:rsid w:val="00862240"/>
    <w:rsid w:val="00863150"/>
    <w:rsid w:val="00863E0A"/>
    <w:rsid w:val="008640B7"/>
    <w:rsid w:val="00864461"/>
    <w:rsid w:val="0086520D"/>
    <w:rsid w:val="008652A7"/>
    <w:rsid w:val="00866154"/>
    <w:rsid w:val="00866D68"/>
    <w:rsid w:val="00867144"/>
    <w:rsid w:val="008674C9"/>
    <w:rsid w:val="00867642"/>
    <w:rsid w:val="008676C5"/>
    <w:rsid w:val="008679E7"/>
    <w:rsid w:val="0087008E"/>
    <w:rsid w:val="00870214"/>
    <w:rsid w:val="0087027D"/>
    <w:rsid w:val="008737D5"/>
    <w:rsid w:val="00873F03"/>
    <w:rsid w:val="00873F3D"/>
    <w:rsid w:val="00874096"/>
    <w:rsid w:val="008749E1"/>
    <w:rsid w:val="00874EC3"/>
    <w:rsid w:val="008754BF"/>
    <w:rsid w:val="00877044"/>
    <w:rsid w:val="00877856"/>
    <w:rsid w:val="00877AF6"/>
    <w:rsid w:val="0088023D"/>
    <w:rsid w:val="008805CC"/>
    <w:rsid w:val="00880CEE"/>
    <w:rsid w:val="0088201C"/>
    <w:rsid w:val="0088218F"/>
    <w:rsid w:val="008830DA"/>
    <w:rsid w:val="00883543"/>
    <w:rsid w:val="00884188"/>
    <w:rsid w:val="0088480D"/>
    <w:rsid w:val="00884B7C"/>
    <w:rsid w:val="008850E4"/>
    <w:rsid w:val="00885C51"/>
    <w:rsid w:val="00885EB0"/>
    <w:rsid w:val="00886B7C"/>
    <w:rsid w:val="00886F0D"/>
    <w:rsid w:val="008878BF"/>
    <w:rsid w:val="0089005E"/>
    <w:rsid w:val="008906CB"/>
    <w:rsid w:val="00890C25"/>
    <w:rsid w:val="00890CFC"/>
    <w:rsid w:val="00890FE6"/>
    <w:rsid w:val="0089107E"/>
    <w:rsid w:val="00891841"/>
    <w:rsid w:val="008919F2"/>
    <w:rsid w:val="00891F4B"/>
    <w:rsid w:val="0089264A"/>
    <w:rsid w:val="00892FF7"/>
    <w:rsid w:val="0089321C"/>
    <w:rsid w:val="00893664"/>
    <w:rsid w:val="00893A1D"/>
    <w:rsid w:val="00894A05"/>
    <w:rsid w:val="00894B38"/>
    <w:rsid w:val="008951A0"/>
    <w:rsid w:val="008958F5"/>
    <w:rsid w:val="00895C4D"/>
    <w:rsid w:val="008961FB"/>
    <w:rsid w:val="00896595"/>
    <w:rsid w:val="00896809"/>
    <w:rsid w:val="00896B85"/>
    <w:rsid w:val="00897ECD"/>
    <w:rsid w:val="008A0D74"/>
    <w:rsid w:val="008A1E95"/>
    <w:rsid w:val="008A221B"/>
    <w:rsid w:val="008A22BE"/>
    <w:rsid w:val="008A2407"/>
    <w:rsid w:val="008A3832"/>
    <w:rsid w:val="008A389C"/>
    <w:rsid w:val="008A3995"/>
    <w:rsid w:val="008A39EC"/>
    <w:rsid w:val="008A46A6"/>
    <w:rsid w:val="008A4A58"/>
    <w:rsid w:val="008A4A59"/>
    <w:rsid w:val="008A5A19"/>
    <w:rsid w:val="008A6467"/>
    <w:rsid w:val="008A6A47"/>
    <w:rsid w:val="008A6C85"/>
    <w:rsid w:val="008A6EB7"/>
    <w:rsid w:val="008A7B7D"/>
    <w:rsid w:val="008A7D07"/>
    <w:rsid w:val="008A7FA5"/>
    <w:rsid w:val="008B0427"/>
    <w:rsid w:val="008B0506"/>
    <w:rsid w:val="008B0732"/>
    <w:rsid w:val="008B1912"/>
    <w:rsid w:val="008B2B40"/>
    <w:rsid w:val="008B2FE9"/>
    <w:rsid w:val="008B341B"/>
    <w:rsid w:val="008B3EFB"/>
    <w:rsid w:val="008B3F0A"/>
    <w:rsid w:val="008B4657"/>
    <w:rsid w:val="008B52F4"/>
    <w:rsid w:val="008B566E"/>
    <w:rsid w:val="008B5841"/>
    <w:rsid w:val="008B64FA"/>
    <w:rsid w:val="008B6BA0"/>
    <w:rsid w:val="008C073D"/>
    <w:rsid w:val="008C091B"/>
    <w:rsid w:val="008C161A"/>
    <w:rsid w:val="008C16D6"/>
    <w:rsid w:val="008C189A"/>
    <w:rsid w:val="008C1B36"/>
    <w:rsid w:val="008C1BC2"/>
    <w:rsid w:val="008C21C6"/>
    <w:rsid w:val="008C2560"/>
    <w:rsid w:val="008C2C50"/>
    <w:rsid w:val="008C4180"/>
    <w:rsid w:val="008C44A9"/>
    <w:rsid w:val="008C5E69"/>
    <w:rsid w:val="008C664D"/>
    <w:rsid w:val="008C672A"/>
    <w:rsid w:val="008C7C22"/>
    <w:rsid w:val="008C7DFC"/>
    <w:rsid w:val="008D06C6"/>
    <w:rsid w:val="008D0D7F"/>
    <w:rsid w:val="008D1037"/>
    <w:rsid w:val="008D1061"/>
    <w:rsid w:val="008D1222"/>
    <w:rsid w:val="008D14F6"/>
    <w:rsid w:val="008D160A"/>
    <w:rsid w:val="008D16D3"/>
    <w:rsid w:val="008D3DE1"/>
    <w:rsid w:val="008D47FB"/>
    <w:rsid w:val="008D4F65"/>
    <w:rsid w:val="008D4FBA"/>
    <w:rsid w:val="008D5295"/>
    <w:rsid w:val="008D536D"/>
    <w:rsid w:val="008D5CA6"/>
    <w:rsid w:val="008E0CD6"/>
    <w:rsid w:val="008E1385"/>
    <w:rsid w:val="008E2299"/>
    <w:rsid w:val="008E2B8F"/>
    <w:rsid w:val="008E3220"/>
    <w:rsid w:val="008E4A26"/>
    <w:rsid w:val="008E51F7"/>
    <w:rsid w:val="008E6250"/>
    <w:rsid w:val="008F0068"/>
    <w:rsid w:val="008F075F"/>
    <w:rsid w:val="008F0992"/>
    <w:rsid w:val="008F0E50"/>
    <w:rsid w:val="008F16D3"/>
    <w:rsid w:val="008F1A57"/>
    <w:rsid w:val="008F3956"/>
    <w:rsid w:val="008F3B31"/>
    <w:rsid w:val="008F4484"/>
    <w:rsid w:val="008F49B9"/>
    <w:rsid w:val="008F531E"/>
    <w:rsid w:val="008F5637"/>
    <w:rsid w:val="008F69A6"/>
    <w:rsid w:val="008F6AC1"/>
    <w:rsid w:val="008F74C7"/>
    <w:rsid w:val="008F7AEC"/>
    <w:rsid w:val="0090082B"/>
    <w:rsid w:val="00900F24"/>
    <w:rsid w:val="00900FC3"/>
    <w:rsid w:val="0090121C"/>
    <w:rsid w:val="00901A7E"/>
    <w:rsid w:val="00901FA7"/>
    <w:rsid w:val="0090258D"/>
    <w:rsid w:val="00902944"/>
    <w:rsid w:val="00902AF6"/>
    <w:rsid w:val="00902B49"/>
    <w:rsid w:val="00903389"/>
    <w:rsid w:val="00903795"/>
    <w:rsid w:val="00904177"/>
    <w:rsid w:val="009045D9"/>
    <w:rsid w:val="0090489B"/>
    <w:rsid w:val="0090598E"/>
    <w:rsid w:val="00905B8E"/>
    <w:rsid w:val="00905DBD"/>
    <w:rsid w:val="00907320"/>
    <w:rsid w:val="009077F2"/>
    <w:rsid w:val="00907814"/>
    <w:rsid w:val="009104C8"/>
    <w:rsid w:val="00911B16"/>
    <w:rsid w:val="00912255"/>
    <w:rsid w:val="009122F9"/>
    <w:rsid w:val="00912B1E"/>
    <w:rsid w:val="0091418D"/>
    <w:rsid w:val="009148CF"/>
    <w:rsid w:val="009159D3"/>
    <w:rsid w:val="00915A1A"/>
    <w:rsid w:val="009166C4"/>
    <w:rsid w:val="009167E2"/>
    <w:rsid w:val="009169D4"/>
    <w:rsid w:val="00920249"/>
    <w:rsid w:val="009204B2"/>
    <w:rsid w:val="0092058C"/>
    <w:rsid w:val="00921DAD"/>
    <w:rsid w:val="00921FEC"/>
    <w:rsid w:val="0092344B"/>
    <w:rsid w:val="0092377E"/>
    <w:rsid w:val="009239B8"/>
    <w:rsid w:val="00924C80"/>
    <w:rsid w:val="00924D2F"/>
    <w:rsid w:val="00925301"/>
    <w:rsid w:val="0092556B"/>
    <w:rsid w:val="009258DB"/>
    <w:rsid w:val="009262EA"/>
    <w:rsid w:val="00926407"/>
    <w:rsid w:val="00926E54"/>
    <w:rsid w:val="00927AC5"/>
    <w:rsid w:val="0093297F"/>
    <w:rsid w:val="00932F14"/>
    <w:rsid w:val="009334E4"/>
    <w:rsid w:val="00933AEB"/>
    <w:rsid w:val="00934996"/>
    <w:rsid w:val="00934A1F"/>
    <w:rsid w:val="00936F30"/>
    <w:rsid w:val="009372FD"/>
    <w:rsid w:val="00937C62"/>
    <w:rsid w:val="00940A97"/>
    <w:rsid w:val="0094247F"/>
    <w:rsid w:val="00942ADB"/>
    <w:rsid w:val="00942D60"/>
    <w:rsid w:val="00942E09"/>
    <w:rsid w:val="00943731"/>
    <w:rsid w:val="009438F3"/>
    <w:rsid w:val="00943E15"/>
    <w:rsid w:val="00943F73"/>
    <w:rsid w:val="00944036"/>
    <w:rsid w:val="009442FE"/>
    <w:rsid w:val="009443D5"/>
    <w:rsid w:val="00944FBA"/>
    <w:rsid w:val="0095050F"/>
    <w:rsid w:val="009509A2"/>
    <w:rsid w:val="00951540"/>
    <w:rsid w:val="009516B9"/>
    <w:rsid w:val="009524FC"/>
    <w:rsid w:val="009547EA"/>
    <w:rsid w:val="009570C0"/>
    <w:rsid w:val="009575D4"/>
    <w:rsid w:val="00960220"/>
    <w:rsid w:val="00960A9A"/>
    <w:rsid w:val="00960EAE"/>
    <w:rsid w:val="0096106B"/>
    <w:rsid w:val="0096451B"/>
    <w:rsid w:val="00964586"/>
    <w:rsid w:val="00964863"/>
    <w:rsid w:val="0096523B"/>
    <w:rsid w:val="00965C82"/>
    <w:rsid w:val="00966403"/>
    <w:rsid w:val="00966EE3"/>
    <w:rsid w:val="00967039"/>
    <w:rsid w:val="00967995"/>
    <w:rsid w:val="00967C78"/>
    <w:rsid w:val="009720DE"/>
    <w:rsid w:val="009727D9"/>
    <w:rsid w:val="00972D06"/>
    <w:rsid w:val="00973007"/>
    <w:rsid w:val="00973356"/>
    <w:rsid w:val="00973ACF"/>
    <w:rsid w:val="009740BB"/>
    <w:rsid w:val="0097569B"/>
    <w:rsid w:val="00976592"/>
    <w:rsid w:val="00976E55"/>
    <w:rsid w:val="009777F7"/>
    <w:rsid w:val="00977CC5"/>
    <w:rsid w:val="00980458"/>
    <w:rsid w:val="00982486"/>
    <w:rsid w:val="009833F6"/>
    <w:rsid w:val="009839F2"/>
    <w:rsid w:val="00983F4E"/>
    <w:rsid w:val="00984813"/>
    <w:rsid w:val="00984837"/>
    <w:rsid w:val="009860F4"/>
    <w:rsid w:val="00990B1D"/>
    <w:rsid w:val="00991EC5"/>
    <w:rsid w:val="00992D9D"/>
    <w:rsid w:val="00992EF8"/>
    <w:rsid w:val="00993370"/>
    <w:rsid w:val="009933CD"/>
    <w:rsid w:val="00993C73"/>
    <w:rsid w:val="00995015"/>
    <w:rsid w:val="00997818"/>
    <w:rsid w:val="00997B29"/>
    <w:rsid w:val="00997D23"/>
    <w:rsid w:val="009A00E9"/>
    <w:rsid w:val="009A012F"/>
    <w:rsid w:val="009A0C84"/>
    <w:rsid w:val="009A1DEE"/>
    <w:rsid w:val="009A230C"/>
    <w:rsid w:val="009A2B11"/>
    <w:rsid w:val="009A3175"/>
    <w:rsid w:val="009A3897"/>
    <w:rsid w:val="009A391C"/>
    <w:rsid w:val="009A50F2"/>
    <w:rsid w:val="009A53B5"/>
    <w:rsid w:val="009A7D85"/>
    <w:rsid w:val="009B1E74"/>
    <w:rsid w:val="009B22E0"/>
    <w:rsid w:val="009B23B9"/>
    <w:rsid w:val="009B28DD"/>
    <w:rsid w:val="009B3881"/>
    <w:rsid w:val="009B3A68"/>
    <w:rsid w:val="009B3F51"/>
    <w:rsid w:val="009B46CD"/>
    <w:rsid w:val="009B4FC2"/>
    <w:rsid w:val="009B50FD"/>
    <w:rsid w:val="009B518C"/>
    <w:rsid w:val="009B5C03"/>
    <w:rsid w:val="009B6409"/>
    <w:rsid w:val="009B6568"/>
    <w:rsid w:val="009B6B65"/>
    <w:rsid w:val="009B6C69"/>
    <w:rsid w:val="009B6C86"/>
    <w:rsid w:val="009B7462"/>
    <w:rsid w:val="009C0197"/>
    <w:rsid w:val="009C1A62"/>
    <w:rsid w:val="009C2810"/>
    <w:rsid w:val="009C2FFF"/>
    <w:rsid w:val="009C31A9"/>
    <w:rsid w:val="009C371B"/>
    <w:rsid w:val="009C5667"/>
    <w:rsid w:val="009C6043"/>
    <w:rsid w:val="009C70F5"/>
    <w:rsid w:val="009D049A"/>
    <w:rsid w:val="009D207E"/>
    <w:rsid w:val="009D2471"/>
    <w:rsid w:val="009D3D84"/>
    <w:rsid w:val="009D42AB"/>
    <w:rsid w:val="009D4A7B"/>
    <w:rsid w:val="009D6D47"/>
    <w:rsid w:val="009D71AC"/>
    <w:rsid w:val="009D7DF6"/>
    <w:rsid w:val="009D7F36"/>
    <w:rsid w:val="009E0A61"/>
    <w:rsid w:val="009E0CF6"/>
    <w:rsid w:val="009E0F45"/>
    <w:rsid w:val="009E1DBE"/>
    <w:rsid w:val="009E1F96"/>
    <w:rsid w:val="009E1FC7"/>
    <w:rsid w:val="009E3010"/>
    <w:rsid w:val="009E36CA"/>
    <w:rsid w:val="009E42C1"/>
    <w:rsid w:val="009E4942"/>
    <w:rsid w:val="009E4B9D"/>
    <w:rsid w:val="009E5307"/>
    <w:rsid w:val="009E5477"/>
    <w:rsid w:val="009E58D2"/>
    <w:rsid w:val="009E5A1C"/>
    <w:rsid w:val="009E7BDC"/>
    <w:rsid w:val="009F007E"/>
    <w:rsid w:val="009F0325"/>
    <w:rsid w:val="009F0B55"/>
    <w:rsid w:val="009F2AD7"/>
    <w:rsid w:val="009F2CD4"/>
    <w:rsid w:val="009F470F"/>
    <w:rsid w:val="009F679B"/>
    <w:rsid w:val="009F7065"/>
    <w:rsid w:val="00A014B0"/>
    <w:rsid w:val="00A02621"/>
    <w:rsid w:val="00A044B7"/>
    <w:rsid w:val="00A049CF"/>
    <w:rsid w:val="00A04E7E"/>
    <w:rsid w:val="00A04F50"/>
    <w:rsid w:val="00A05115"/>
    <w:rsid w:val="00A0652D"/>
    <w:rsid w:val="00A065CF"/>
    <w:rsid w:val="00A06611"/>
    <w:rsid w:val="00A06F1F"/>
    <w:rsid w:val="00A0753E"/>
    <w:rsid w:val="00A07A32"/>
    <w:rsid w:val="00A07A42"/>
    <w:rsid w:val="00A105C1"/>
    <w:rsid w:val="00A10EDE"/>
    <w:rsid w:val="00A119E6"/>
    <w:rsid w:val="00A120D2"/>
    <w:rsid w:val="00A122CE"/>
    <w:rsid w:val="00A13794"/>
    <w:rsid w:val="00A1387E"/>
    <w:rsid w:val="00A14060"/>
    <w:rsid w:val="00A143AA"/>
    <w:rsid w:val="00A1516C"/>
    <w:rsid w:val="00A15789"/>
    <w:rsid w:val="00A15A9F"/>
    <w:rsid w:val="00A15BAC"/>
    <w:rsid w:val="00A16346"/>
    <w:rsid w:val="00A17BB3"/>
    <w:rsid w:val="00A17DDE"/>
    <w:rsid w:val="00A17DF1"/>
    <w:rsid w:val="00A20AE8"/>
    <w:rsid w:val="00A2133D"/>
    <w:rsid w:val="00A215CB"/>
    <w:rsid w:val="00A23412"/>
    <w:rsid w:val="00A23FD7"/>
    <w:rsid w:val="00A2465D"/>
    <w:rsid w:val="00A24B43"/>
    <w:rsid w:val="00A24C85"/>
    <w:rsid w:val="00A25408"/>
    <w:rsid w:val="00A25BD6"/>
    <w:rsid w:val="00A262A6"/>
    <w:rsid w:val="00A272E7"/>
    <w:rsid w:val="00A27367"/>
    <w:rsid w:val="00A276FD"/>
    <w:rsid w:val="00A30CAA"/>
    <w:rsid w:val="00A310AB"/>
    <w:rsid w:val="00A31411"/>
    <w:rsid w:val="00A31BA3"/>
    <w:rsid w:val="00A32027"/>
    <w:rsid w:val="00A321E3"/>
    <w:rsid w:val="00A32849"/>
    <w:rsid w:val="00A32990"/>
    <w:rsid w:val="00A329F1"/>
    <w:rsid w:val="00A32AFF"/>
    <w:rsid w:val="00A3412E"/>
    <w:rsid w:val="00A34D11"/>
    <w:rsid w:val="00A34D2D"/>
    <w:rsid w:val="00A35474"/>
    <w:rsid w:val="00A35C04"/>
    <w:rsid w:val="00A35F51"/>
    <w:rsid w:val="00A3645F"/>
    <w:rsid w:val="00A3758B"/>
    <w:rsid w:val="00A378E8"/>
    <w:rsid w:val="00A37E69"/>
    <w:rsid w:val="00A40B71"/>
    <w:rsid w:val="00A40DA0"/>
    <w:rsid w:val="00A4175D"/>
    <w:rsid w:val="00A427B3"/>
    <w:rsid w:val="00A42C6D"/>
    <w:rsid w:val="00A43124"/>
    <w:rsid w:val="00A43C5C"/>
    <w:rsid w:val="00A44A34"/>
    <w:rsid w:val="00A453A3"/>
    <w:rsid w:val="00A453AB"/>
    <w:rsid w:val="00A463F0"/>
    <w:rsid w:val="00A473A1"/>
    <w:rsid w:val="00A47A48"/>
    <w:rsid w:val="00A5007F"/>
    <w:rsid w:val="00A50986"/>
    <w:rsid w:val="00A50EF7"/>
    <w:rsid w:val="00A51D22"/>
    <w:rsid w:val="00A52A50"/>
    <w:rsid w:val="00A534EF"/>
    <w:rsid w:val="00A535C1"/>
    <w:rsid w:val="00A535ED"/>
    <w:rsid w:val="00A5396F"/>
    <w:rsid w:val="00A54141"/>
    <w:rsid w:val="00A54639"/>
    <w:rsid w:val="00A557B4"/>
    <w:rsid w:val="00A5584F"/>
    <w:rsid w:val="00A55C16"/>
    <w:rsid w:val="00A563CC"/>
    <w:rsid w:val="00A566B6"/>
    <w:rsid w:val="00A56D97"/>
    <w:rsid w:val="00A56DC7"/>
    <w:rsid w:val="00A573C4"/>
    <w:rsid w:val="00A57CD8"/>
    <w:rsid w:val="00A57EE4"/>
    <w:rsid w:val="00A601FB"/>
    <w:rsid w:val="00A61BAD"/>
    <w:rsid w:val="00A62F04"/>
    <w:rsid w:val="00A633DC"/>
    <w:rsid w:val="00A64B61"/>
    <w:rsid w:val="00A65279"/>
    <w:rsid w:val="00A668C0"/>
    <w:rsid w:val="00A67755"/>
    <w:rsid w:val="00A72E5F"/>
    <w:rsid w:val="00A734EE"/>
    <w:rsid w:val="00A73AAB"/>
    <w:rsid w:val="00A73C0D"/>
    <w:rsid w:val="00A73F73"/>
    <w:rsid w:val="00A74FD1"/>
    <w:rsid w:val="00A758E7"/>
    <w:rsid w:val="00A7647A"/>
    <w:rsid w:val="00A77BFA"/>
    <w:rsid w:val="00A812C7"/>
    <w:rsid w:val="00A81667"/>
    <w:rsid w:val="00A82FF7"/>
    <w:rsid w:val="00A849AA"/>
    <w:rsid w:val="00A84A58"/>
    <w:rsid w:val="00A84B85"/>
    <w:rsid w:val="00A856A3"/>
    <w:rsid w:val="00A8595B"/>
    <w:rsid w:val="00A86B4E"/>
    <w:rsid w:val="00A87B1A"/>
    <w:rsid w:val="00A910F0"/>
    <w:rsid w:val="00A911B2"/>
    <w:rsid w:val="00A92A75"/>
    <w:rsid w:val="00A940C1"/>
    <w:rsid w:val="00A94398"/>
    <w:rsid w:val="00A95593"/>
    <w:rsid w:val="00A96D47"/>
    <w:rsid w:val="00A97557"/>
    <w:rsid w:val="00A97558"/>
    <w:rsid w:val="00AA0C8F"/>
    <w:rsid w:val="00AA0DB0"/>
    <w:rsid w:val="00AA0F88"/>
    <w:rsid w:val="00AA166E"/>
    <w:rsid w:val="00AA25C1"/>
    <w:rsid w:val="00AA2853"/>
    <w:rsid w:val="00AA28FB"/>
    <w:rsid w:val="00AA3273"/>
    <w:rsid w:val="00AA3449"/>
    <w:rsid w:val="00AA491A"/>
    <w:rsid w:val="00AA699E"/>
    <w:rsid w:val="00AA6E9D"/>
    <w:rsid w:val="00AA7128"/>
    <w:rsid w:val="00AB0214"/>
    <w:rsid w:val="00AB2094"/>
    <w:rsid w:val="00AB2AEF"/>
    <w:rsid w:val="00AB35F6"/>
    <w:rsid w:val="00AB45FA"/>
    <w:rsid w:val="00AB4FAF"/>
    <w:rsid w:val="00AB50F0"/>
    <w:rsid w:val="00AB5312"/>
    <w:rsid w:val="00AB58D8"/>
    <w:rsid w:val="00AB593D"/>
    <w:rsid w:val="00AB6A76"/>
    <w:rsid w:val="00AB739F"/>
    <w:rsid w:val="00AC03FD"/>
    <w:rsid w:val="00AC08BB"/>
    <w:rsid w:val="00AC1115"/>
    <w:rsid w:val="00AC1814"/>
    <w:rsid w:val="00AC2BBE"/>
    <w:rsid w:val="00AC3F5A"/>
    <w:rsid w:val="00AC46EB"/>
    <w:rsid w:val="00AC5E8D"/>
    <w:rsid w:val="00AC62D0"/>
    <w:rsid w:val="00AC6366"/>
    <w:rsid w:val="00AC702D"/>
    <w:rsid w:val="00AC7F4E"/>
    <w:rsid w:val="00AD000A"/>
    <w:rsid w:val="00AD0259"/>
    <w:rsid w:val="00AD048E"/>
    <w:rsid w:val="00AD12CE"/>
    <w:rsid w:val="00AD1976"/>
    <w:rsid w:val="00AD19E1"/>
    <w:rsid w:val="00AD1A48"/>
    <w:rsid w:val="00AD2903"/>
    <w:rsid w:val="00AD2CD5"/>
    <w:rsid w:val="00AD2E6D"/>
    <w:rsid w:val="00AD33CA"/>
    <w:rsid w:val="00AD358D"/>
    <w:rsid w:val="00AD4500"/>
    <w:rsid w:val="00AD6208"/>
    <w:rsid w:val="00AD6F66"/>
    <w:rsid w:val="00AE0630"/>
    <w:rsid w:val="00AE0A66"/>
    <w:rsid w:val="00AE2A96"/>
    <w:rsid w:val="00AE2D41"/>
    <w:rsid w:val="00AE33DD"/>
    <w:rsid w:val="00AE57BF"/>
    <w:rsid w:val="00AE66D5"/>
    <w:rsid w:val="00AE69BC"/>
    <w:rsid w:val="00AE769F"/>
    <w:rsid w:val="00AE7786"/>
    <w:rsid w:val="00AE7B4A"/>
    <w:rsid w:val="00AF06FC"/>
    <w:rsid w:val="00AF0D6B"/>
    <w:rsid w:val="00AF1AAF"/>
    <w:rsid w:val="00AF29A7"/>
    <w:rsid w:val="00AF317E"/>
    <w:rsid w:val="00AF3391"/>
    <w:rsid w:val="00AF3687"/>
    <w:rsid w:val="00AF387F"/>
    <w:rsid w:val="00AF3A93"/>
    <w:rsid w:val="00AF4193"/>
    <w:rsid w:val="00AF473C"/>
    <w:rsid w:val="00AF4900"/>
    <w:rsid w:val="00AF4F43"/>
    <w:rsid w:val="00AF585A"/>
    <w:rsid w:val="00AF59AD"/>
    <w:rsid w:val="00AF70CF"/>
    <w:rsid w:val="00AF7938"/>
    <w:rsid w:val="00AF7ACF"/>
    <w:rsid w:val="00AF7F63"/>
    <w:rsid w:val="00B0008D"/>
    <w:rsid w:val="00B00ACD"/>
    <w:rsid w:val="00B00E7F"/>
    <w:rsid w:val="00B0142D"/>
    <w:rsid w:val="00B01A1D"/>
    <w:rsid w:val="00B01B5D"/>
    <w:rsid w:val="00B02EDF"/>
    <w:rsid w:val="00B0393E"/>
    <w:rsid w:val="00B03B20"/>
    <w:rsid w:val="00B04148"/>
    <w:rsid w:val="00B047B3"/>
    <w:rsid w:val="00B04D29"/>
    <w:rsid w:val="00B055B8"/>
    <w:rsid w:val="00B05FBB"/>
    <w:rsid w:val="00B06890"/>
    <w:rsid w:val="00B06C69"/>
    <w:rsid w:val="00B07F98"/>
    <w:rsid w:val="00B101FB"/>
    <w:rsid w:val="00B10771"/>
    <w:rsid w:val="00B10B87"/>
    <w:rsid w:val="00B11357"/>
    <w:rsid w:val="00B1211F"/>
    <w:rsid w:val="00B12808"/>
    <w:rsid w:val="00B12E8A"/>
    <w:rsid w:val="00B12F1E"/>
    <w:rsid w:val="00B13058"/>
    <w:rsid w:val="00B1425E"/>
    <w:rsid w:val="00B14D36"/>
    <w:rsid w:val="00B1515B"/>
    <w:rsid w:val="00B1594F"/>
    <w:rsid w:val="00B16278"/>
    <w:rsid w:val="00B167BC"/>
    <w:rsid w:val="00B173DA"/>
    <w:rsid w:val="00B20A69"/>
    <w:rsid w:val="00B21DCC"/>
    <w:rsid w:val="00B21E27"/>
    <w:rsid w:val="00B21F98"/>
    <w:rsid w:val="00B24C97"/>
    <w:rsid w:val="00B24E35"/>
    <w:rsid w:val="00B25A7D"/>
    <w:rsid w:val="00B25F37"/>
    <w:rsid w:val="00B2655D"/>
    <w:rsid w:val="00B26A5D"/>
    <w:rsid w:val="00B31029"/>
    <w:rsid w:val="00B32437"/>
    <w:rsid w:val="00B325D5"/>
    <w:rsid w:val="00B32EC6"/>
    <w:rsid w:val="00B338CB"/>
    <w:rsid w:val="00B3490D"/>
    <w:rsid w:val="00B34ACC"/>
    <w:rsid w:val="00B35014"/>
    <w:rsid w:val="00B35D0A"/>
    <w:rsid w:val="00B363DC"/>
    <w:rsid w:val="00B36FA6"/>
    <w:rsid w:val="00B3758F"/>
    <w:rsid w:val="00B37BF0"/>
    <w:rsid w:val="00B37DB6"/>
    <w:rsid w:val="00B427FD"/>
    <w:rsid w:val="00B42AE1"/>
    <w:rsid w:val="00B4306C"/>
    <w:rsid w:val="00B4346C"/>
    <w:rsid w:val="00B44119"/>
    <w:rsid w:val="00B441F4"/>
    <w:rsid w:val="00B44422"/>
    <w:rsid w:val="00B44658"/>
    <w:rsid w:val="00B447E8"/>
    <w:rsid w:val="00B45BA8"/>
    <w:rsid w:val="00B45DB8"/>
    <w:rsid w:val="00B46DE3"/>
    <w:rsid w:val="00B46EA0"/>
    <w:rsid w:val="00B47388"/>
    <w:rsid w:val="00B475D4"/>
    <w:rsid w:val="00B5102D"/>
    <w:rsid w:val="00B52301"/>
    <w:rsid w:val="00B528BC"/>
    <w:rsid w:val="00B54222"/>
    <w:rsid w:val="00B54CFF"/>
    <w:rsid w:val="00B552DD"/>
    <w:rsid w:val="00B56241"/>
    <w:rsid w:val="00B56321"/>
    <w:rsid w:val="00B569D4"/>
    <w:rsid w:val="00B56A32"/>
    <w:rsid w:val="00B57917"/>
    <w:rsid w:val="00B604D9"/>
    <w:rsid w:val="00B60AE1"/>
    <w:rsid w:val="00B61230"/>
    <w:rsid w:val="00B6212E"/>
    <w:rsid w:val="00B62B9A"/>
    <w:rsid w:val="00B62DC8"/>
    <w:rsid w:val="00B62F4A"/>
    <w:rsid w:val="00B63975"/>
    <w:rsid w:val="00B642B9"/>
    <w:rsid w:val="00B646CF"/>
    <w:rsid w:val="00B64D19"/>
    <w:rsid w:val="00B651DC"/>
    <w:rsid w:val="00B655B9"/>
    <w:rsid w:val="00B6598C"/>
    <w:rsid w:val="00B65BD8"/>
    <w:rsid w:val="00B66F7F"/>
    <w:rsid w:val="00B67195"/>
    <w:rsid w:val="00B67897"/>
    <w:rsid w:val="00B714CA"/>
    <w:rsid w:val="00B7231D"/>
    <w:rsid w:val="00B731D3"/>
    <w:rsid w:val="00B73FD1"/>
    <w:rsid w:val="00B74174"/>
    <w:rsid w:val="00B74A2C"/>
    <w:rsid w:val="00B75EF4"/>
    <w:rsid w:val="00B76189"/>
    <w:rsid w:val="00B763ED"/>
    <w:rsid w:val="00B768E1"/>
    <w:rsid w:val="00B80324"/>
    <w:rsid w:val="00B80CE3"/>
    <w:rsid w:val="00B81A17"/>
    <w:rsid w:val="00B820F6"/>
    <w:rsid w:val="00B822BF"/>
    <w:rsid w:val="00B82F23"/>
    <w:rsid w:val="00B839A3"/>
    <w:rsid w:val="00B83AA2"/>
    <w:rsid w:val="00B83B43"/>
    <w:rsid w:val="00B83F48"/>
    <w:rsid w:val="00B8613F"/>
    <w:rsid w:val="00B86B0C"/>
    <w:rsid w:val="00B902BD"/>
    <w:rsid w:val="00B9057F"/>
    <w:rsid w:val="00B90CDB"/>
    <w:rsid w:val="00B90E31"/>
    <w:rsid w:val="00B9104F"/>
    <w:rsid w:val="00B910A1"/>
    <w:rsid w:val="00B91408"/>
    <w:rsid w:val="00B91A0C"/>
    <w:rsid w:val="00B91D36"/>
    <w:rsid w:val="00B924CF"/>
    <w:rsid w:val="00B92978"/>
    <w:rsid w:val="00B94171"/>
    <w:rsid w:val="00B9475E"/>
    <w:rsid w:val="00B96A20"/>
    <w:rsid w:val="00B97C50"/>
    <w:rsid w:val="00BA0B04"/>
    <w:rsid w:val="00BA18BF"/>
    <w:rsid w:val="00BA1E8B"/>
    <w:rsid w:val="00BA2381"/>
    <w:rsid w:val="00BA24E2"/>
    <w:rsid w:val="00BA3077"/>
    <w:rsid w:val="00BA30DE"/>
    <w:rsid w:val="00BA3323"/>
    <w:rsid w:val="00BA3C15"/>
    <w:rsid w:val="00BA4457"/>
    <w:rsid w:val="00BA464E"/>
    <w:rsid w:val="00BA4691"/>
    <w:rsid w:val="00BA5DED"/>
    <w:rsid w:val="00BA6172"/>
    <w:rsid w:val="00BB0475"/>
    <w:rsid w:val="00BB18BE"/>
    <w:rsid w:val="00BB2DBA"/>
    <w:rsid w:val="00BB2EAA"/>
    <w:rsid w:val="00BB36D3"/>
    <w:rsid w:val="00BB38EC"/>
    <w:rsid w:val="00BB49BD"/>
    <w:rsid w:val="00BB4FA5"/>
    <w:rsid w:val="00BB5693"/>
    <w:rsid w:val="00BB5AFA"/>
    <w:rsid w:val="00BB5FD4"/>
    <w:rsid w:val="00BB6CE2"/>
    <w:rsid w:val="00BB75D2"/>
    <w:rsid w:val="00BB79E3"/>
    <w:rsid w:val="00BC0937"/>
    <w:rsid w:val="00BC12A6"/>
    <w:rsid w:val="00BC155F"/>
    <w:rsid w:val="00BC1BB0"/>
    <w:rsid w:val="00BC217D"/>
    <w:rsid w:val="00BC2C71"/>
    <w:rsid w:val="00BC2DDA"/>
    <w:rsid w:val="00BC2E24"/>
    <w:rsid w:val="00BC322F"/>
    <w:rsid w:val="00BC3417"/>
    <w:rsid w:val="00BC467F"/>
    <w:rsid w:val="00BC4A66"/>
    <w:rsid w:val="00BD028C"/>
    <w:rsid w:val="00BD0B6F"/>
    <w:rsid w:val="00BD0B84"/>
    <w:rsid w:val="00BD2A39"/>
    <w:rsid w:val="00BD2C0B"/>
    <w:rsid w:val="00BD2E80"/>
    <w:rsid w:val="00BD30BF"/>
    <w:rsid w:val="00BD3489"/>
    <w:rsid w:val="00BD3CF5"/>
    <w:rsid w:val="00BD4167"/>
    <w:rsid w:val="00BD44B6"/>
    <w:rsid w:val="00BD66C3"/>
    <w:rsid w:val="00BD676C"/>
    <w:rsid w:val="00BE060F"/>
    <w:rsid w:val="00BE11B8"/>
    <w:rsid w:val="00BE1C87"/>
    <w:rsid w:val="00BE1ED0"/>
    <w:rsid w:val="00BE3434"/>
    <w:rsid w:val="00BE36C6"/>
    <w:rsid w:val="00BE73A2"/>
    <w:rsid w:val="00BE7A44"/>
    <w:rsid w:val="00BF0A3B"/>
    <w:rsid w:val="00BF11B0"/>
    <w:rsid w:val="00BF157C"/>
    <w:rsid w:val="00BF15C6"/>
    <w:rsid w:val="00BF1DAA"/>
    <w:rsid w:val="00BF21DC"/>
    <w:rsid w:val="00BF34B2"/>
    <w:rsid w:val="00BF367B"/>
    <w:rsid w:val="00BF417D"/>
    <w:rsid w:val="00BF5738"/>
    <w:rsid w:val="00BF5D8B"/>
    <w:rsid w:val="00BF615C"/>
    <w:rsid w:val="00BF6C74"/>
    <w:rsid w:val="00BF7967"/>
    <w:rsid w:val="00BF7FF0"/>
    <w:rsid w:val="00C0033D"/>
    <w:rsid w:val="00C01892"/>
    <w:rsid w:val="00C02751"/>
    <w:rsid w:val="00C036C2"/>
    <w:rsid w:val="00C03E82"/>
    <w:rsid w:val="00C057F4"/>
    <w:rsid w:val="00C06303"/>
    <w:rsid w:val="00C0656E"/>
    <w:rsid w:val="00C07BF0"/>
    <w:rsid w:val="00C10904"/>
    <w:rsid w:val="00C1191F"/>
    <w:rsid w:val="00C12502"/>
    <w:rsid w:val="00C128D6"/>
    <w:rsid w:val="00C12A8F"/>
    <w:rsid w:val="00C134BE"/>
    <w:rsid w:val="00C134C4"/>
    <w:rsid w:val="00C13C4E"/>
    <w:rsid w:val="00C14E50"/>
    <w:rsid w:val="00C16299"/>
    <w:rsid w:val="00C167BB"/>
    <w:rsid w:val="00C16E92"/>
    <w:rsid w:val="00C16EFD"/>
    <w:rsid w:val="00C1775D"/>
    <w:rsid w:val="00C17967"/>
    <w:rsid w:val="00C20610"/>
    <w:rsid w:val="00C2102B"/>
    <w:rsid w:val="00C221A5"/>
    <w:rsid w:val="00C22BBB"/>
    <w:rsid w:val="00C22E6F"/>
    <w:rsid w:val="00C22FDC"/>
    <w:rsid w:val="00C2375D"/>
    <w:rsid w:val="00C23D24"/>
    <w:rsid w:val="00C253AE"/>
    <w:rsid w:val="00C257C9"/>
    <w:rsid w:val="00C25E98"/>
    <w:rsid w:val="00C26ADD"/>
    <w:rsid w:val="00C3045C"/>
    <w:rsid w:val="00C307D9"/>
    <w:rsid w:val="00C308FD"/>
    <w:rsid w:val="00C31A4F"/>
    <w:rsid w:val="00C325AA"/>
    <w:rsid w:val="00C325FC"/>
    <w:rsid w:val="00C336A5"/>
    <w:rsid w:val="00C342A2"/>
    <w:rsid w:val="00C34486"/>
    <w:rsid w:val="00C35947"/>
    <w:rsid w:val="00C36578"/>
    <w:rsid w:val="00C37250"/>
    <w:rsid w:val="00C375F1"/>
    <w:rsid w:val="00C40AA5"/>
    <w:rsid w:val="00C43982"/>
    <w:rsid w:val="00C43DAB"/>
    <w:rsid w:val="00C43E33"/>
    <w:rsid w:val="00C461EC"/>
    <w:rsid w:val="00C46301"/>
    <w:rsid w:val="00C4658C"/>
    <w:rsid w:val="00C46F70"/>
    <w:rsid w:val="00C47516"/>
    <w:rsid w:val="00C476D0"/>
    <w:rsid w:val="00C47B3C"/>
    <w:rsid w:val="00C50598"/>
    <w:rsid w:val="00C507C8"/>
    <w:rsid w:val="00C5129B"/>
    <w:rsid w:val="00C513A8"/>
    <w:rsid w:val="00C534FF"/>
    <w:rsid w:val="00C53E45"/>
    <w:rsid w:val="00C540FE"/>
    <w:rsid w:val="00C54F86"/>
    <w:rsid w:val="00C552E9"/>
    <w:rsid w:val="00C576EF"/>
    <w:rsid w:val="00C60670"/>
    <w:rsid w:val="00C61AC1"/>
    <w:rsid w:val="00C61CDA"/>
    <w:rsid w:val="00C61F37"/>
    <w:rsid w:val="00C62BEB"/>
    <w:rsid w:val="00C635A5"/>
    <w:rsid w:val="00C637BD"/>
    <w:rsid w:val="00C646C7"/>
    <w:rsid w:val="00C64C6E"/>
    <w:rsid w:val="00C652A8"/>
    <w:rsid w:val="00C655D9"/>
    <w:rsid w:val="00C65E5E"/>
    <w:rsid w:val="00C666CB"/>
    <w:rsid w:val="00C666F6"/>
    <w:rsid w:val="00C671AB"/>
    <w:rsid w:val="00C67400"/>
    <w:rsid w:val="00C67786"/>
    <w:rsid w:val="00C677DC"/>
    <w:rsid w:val="00C71B99"/>
    <w:rsid w:val="00C72A4F"/>
    <w:rsid w:val="00C72B15"/>
    <w:rsid w:val="00C72F95"/>
    <w:rsid w:val="00C732DB"/>
    <w:rsid w:val="00C7373F"/>
    <w:rsid w:val="00C7407D"/>
    <w:rsid w:val="00C75221"/>
    <w:rsid w:val="00C752FD"/>
    <w:rsid w:val="00C753EF"/>
    <w:rsid w:val="00C764B3"/>
    <w:rsid w:val="00C7785E"/>
    <w:rsid w:val="00C802FE"/>
    <w:rsid w:val="00C80D8D"/>
    <w:rsid w:val="00C80E9C"/>
    <w:rsid w:val="00C80FB0"/>
    <w:rsid w:val="00C812D6"/>
    <w:rsid w:val="00C836E3"/>
    <w:rsid w:val="00C83D5F"/>
    <w:rsid w:val="00C851C8"/>
    <w:rsid w:val="00C86577"/>
    <w:rsid w:val="00C878C1"/>
    <w:rsid w:val="00C87DC4"/>
    <w:rsid w:val="00C903C3"/>
    <w:rsid w:val="00C9067E"/>
    <w:rsid w:val="00C92BED"/>
    <w:rsid w:val="00C92E07"/>
    <w:rsid w:val="00C92F55"/>
    <w:rsid w:val="00C93109"/>
    <w:rsid w:val="00C9443D"/>
    <w:rsid w:val="00C94F42"/>
    <w:rsid w:val="00C94F6B"/>
    <w:rsid w:val="00C95338"/>
    <w:rsid w:val="00C95BE0"/>
    <w:rsid w:val="00C96868"/>
    <w:rsid w:val="00C97384"/>
    <w:rsid w:val="00C97404"/>
    <w:rsid w:val="00CA0416"/>
    <w:rsid w:val="00CA22BD"/>
    <w:rsid w:val="00CA27D0"/>
    <w:rsid w:val="00CA29B0"/>
    <w:rsid w:val="00CA3011"/>
    <w:rsid w:val="00CA3B54"/>
    <w:rsid w:val="00CA4149"/>
    <w:rsid w:val="00CA4D5F"/>
    <w:rsid w:val="00CA6FBA"/>
    <w:rsid w:val="00CB16AA"/>
    <w:rsid w:val="00CB1DA6"/>
    <w:rsid w:val="00CB357D"/>
    <w:rsid w:val="00CB375C"/>
    <w:rsid w:val="00CB5895"/>
    <w:rsid w:val="00CB5A75"/>
    <w:rsid w:val="00CB64CA"/>
    <w:rsid w:val="00CB6902"/>
    <w:rsid w:val="00CB6B4D"/>
    <w:rsid w:val="00CB6B97"/>
    <w:rsid w:val="00CB6B9C"/>
    <w:rsid w:val="00CB7BFB"/>
    <w:rsid w:val="00CB7C7F"/>
    <w:rsid w:val="00CC01CB"/>
    <w:rsid w:val="00CC04C2"/>
    <w:rsid w:val="00CC08A0"/>
    <w:rsid w:val="00CC0FDD"/>
    <w:rsid w:val="00CC3145"/>
    <w:rsid w:val="00CC342C"/>
    <w:rsid w:val="00CC527A"/>
    <w:rsid w:val="00CC560B"/>
    <w:rsid w:val="00CC6579"/>
    <w:rsid w:val="00CC6732"/>
    <w:rsid w:val="00CC75E2"/>
    <w:rsid w:val="00CC78E2"/>
    <w:rsid w:val="00CC7FC0"/>
    <w:rsid w:val="00CD01D6"/>
    <w:rsid w:val="00CD241D"/>
    <w:rsid w:val="00CD25CE"/>
    <w:rsid w:val="00CD2815"/>
    <w:rsid w:val="00CD3529"/>
    <w:rsid w:val="00CD46EB"/>
    <w:rsid w:val="00CD5726"/>
    <w:rsid w:val="00CD6DA2"/>
    <w:rsid w:val="00CD6F94"/>
    <w:rsid w:val="00CD7B9B"/>
    <w:rsid w:val="00CD7EBF"/>
    <w:rsid w:val="00CE12A9"/>
    <w:rsid w:val="00CE1A91"/>
    <w:rsid w:val="00CE1C6F"/>
    <w:rsid w:val="00CE28B7"/>
    <w:rsid w:val="00CE2C72"/>
    <w:rsid w:val="00CE2CC4"/>
    <w:rsid w:val="00CE2F18"/>
    <w:rsid w:val="00CE35D3"/>
    <w:rsid w:val="00CE5956"/>
    <w:rsid w:val="00CE653B"/>
    <w:rsid w:val="00CE7BF3"/>
    <w:rsid w:val="00CF0C74"/>
    <w:rsid w:val="00CF0CBE"/>
    <w:rsid w:val="00CF10C6"/>
    <w:rsid w:val="00CF2DCC"/>
    <w:rsid w:val="00CF3298"/>
    <w:rsid w:val="00CF57D4"/>
    <w:rsid w:val="00CF71B2"/>
    <w:rsid w:val="00CF759A"/>
    <w:rsid w:val="00D00B37"/>
    <w:rsid w:val="00D03259"/>
    <w:rsid w:val="00D04B1C"/>
    <w:rsid w:val="00D056F1"/>
    <w:rsid w:val="00D06CE4"/>
    <w:rsid w:val="00D07010"/>
    <w:rsid w:val="00D072AA"/>
    <w:rsid w:val="00D07F5A"/>
    <w:rsid w:val="00D10543"/>
    <w:rsid w:val="00D11171"/>
    <w:rsid w:val="00D12C92"/>
    <w:rsid w:val="00D131DE"/>
    <w:rsid w:val="00D13B3F"/>
    <w:rsid w:val="00D15974"/>
    <w:rsid w:val="00D15D6B"/>
    <w:rsid w:val="00D1658C"/>
    <w:rsid w:val="00D16867"/>
    <w:rsid w:val="00D1714D"/>
    <w:rsid w:val="00D2004E"/>
    <w:rsid w:val="00D20976"/>
    <w:rsid w:val="00D21E99"/>
    <w:rsid w:val="00D21FB7"/>
    <w:rsid w:val="00D22BD1"/>
    <w:rsid w:val="00D22BE5"/>
    <w:rsid w:val="00D22F3C"/>
    <w:rsid w:val="00D233EF"/>
    <w:rsid w:val="00D2383B"/>
    <w:rsid w:val="00D23960"/>
    <w:rsid w:val="00D23B4F"/>
    <w:rsid w:val="00D23DB6"/>
    <w:rsid w:val="00D244FE"/>
    <w:rsid w:val="00D267F1"/>
    <w:rsid w:val="00D26828"/>
    <w:rsid w:val="00D27063"/>
    <w:rsid w:val="00D270F5"/>
    <w:rsid w:val="00D275B7"/>
    <w:rsid w:val="00D27A23"/>
    <w:rsid w:val="00D27F3A"/>
    <w:rsid w:val="00D3179F"/>
    <w:rsid w:val="00D31C8A"/>
    <w:rsid w:val="00D31D20"/>
    <w:rsid w:val="00D324D6"/>
    <w:rsid w:val="00D33CF5"/>
    <w:rsid w:val="00D348A0"/>
    <w:rsid w:val="00D351BA"/>
    <w:rsid w:val="00D361FF"/>
    <w:rsid w:val="00D366A2"/>
    <w:rsid w:val="00D367CC"/>
    <w:rsid w:val="00D36CD9"/>
    <w:rsid w:val="00D36D1E"/>
    <w:rsid w:val="00D36D9E"/>
    <w:rsid w:val="00D36E18"/>
    <w:rsid w:val="00D36FC0"/>
    <w:rsid w:val="00D37339"/>
    <w:rsid w:val="00D373F2"/>
    <w:rsid w:val="00D375F0"/>
    <w:rsid w:val="00D37B59"/>
    <w:rsid w:val="00D411E7"/>
    <w:rsid w:val="00D41243"/>
    <w:rsid w:val="00D4224C"/>
    <w:rsid w:val="00D428E7"/>
    <w:rsid w:val="00D4316D"/>
    <w:rsid w:val="00D4318E"/>
    <w:rsid w:val="00D4343D"/>
    <w:rsid w:val="00D4345E"/>
    <w:rsid w:val="00D43FE6"/>
    <w:rsid w:val="00D44226"/>
    <w:rsid w:val="00D44833"/>
    <w:rsid w:val="00D449F7"/>
    <w:rsid w:val="00D4745E"/>
    <w:rsid w:val="00D517E0"/>
    <w:rsid w:val="00D51A95"/>
    <w:rsid w:val="00D52618"/>
    <w:rsid w:val="00D52683"/>
    <w:rsid w:val="00D527BF"/>
    <w:rsid w:val="00D52B63"/>
    <w:rsid w:val="00D535F8"/>
    <w:rsid w:val="00D538AD"/>
    <w:rsid w:val="00D539C2"/>
    <w:rsid w:val="00D53EFA"/>
    <w:rsid w:val="00D549DC"/>
    <w:rsid w:val="00D5617A"/>
    <w:rsid w:val="00D564D1"/>
    <w:rsid w:val="00D56B44"/>
    <w:rsid w:val="00D5706C"/>
    <w:rsid w:val="00D60568"/>
    <w:rsid w:val="00D606CC"/>
    <w:rsid w:val="00D60E15"/>
    <w:rsid w:val="00D612EA"/>
    <w:rsid w:val="00D62116"/>
    <w:rsid w:val="00D62D6A"/>
    <w:rsid w:val="00D62F59"/>
    <w:rsid w:val="00D63085"/>
    <w:rsid w:val="00D63ED8"/>
    <w:rsid w:val="00D64084"/>
    <w:rsid w:val="00D64CF0"/>
    <w:rsid w:val="00D657DE"/>
    <w:rsid w:val="00D666F8"/>
    <w:rsid w:val="00D66C83"/>
    <w:rsid w:val="00D677D7"/>
    <w:rsid w:val="00D67CDB"/>
    <w:rsid w:val="00D702FF"/>
    <w:rsid w:val="00D70AF1"/>
    <w:rsid w:val="00D70BEF"/>
    <w:rsid w:val="00D70C7A"/>
    <w:rsid w:val="00D70D38"/>
    <w:rsid w:val="00D70E31"/>
    <w:rsid w:val="00D71112"/>
    <w:rsid w:val="00D711A3"/>
    <w:rsid w:val="00D73877"/>
    <w:rsid w:val="00D73D5C"/>
    <w:rsid w:val="00D73EAE"/>
    <w:rsid w:val="00D7458E"/>
    <w:rsid w:val="00D74CF7"/>
    <w:rsid w:val="00D74F44"/>
    <w:rsid w:val="00D80180"/>
    <w:rsid w:val="00D814B4"/>
    <w:rsid w:val="00D815E8"/>
    <w:rsid w:val="00D81D38"/>
    <w:rsid w:val="00D82F8F"/>
    <w:rsid w:val="00D838E5"/>
    <w:rsid w:val="00D83AB7"/>
    <w:rsid w:val="00D83BD5"/>
    <w:rsid w:val="00D8514F"/>
    <w:rsid w:val="00D860B2"/>
    <w:rsid w:val="00D86348"/>
    <w:rsid w:val="00D875BC"/>
    <w:rsid w:val="00D91848"/>
    <w:rsid w:val="00D91F3B"/>
    <w:rsid w:val="00D923F8"/>
    <w:rsid w:val="00D92611"/>
    <w:rsid w:val="00D92FB9"/>
    <w:rsid w:val="00D93AE4"/>
    <w:rsid w:val="00D93F1B"/>
    <w:rsid w:val="00D93FAC"/>
    <w:rsid w:val="00D9491E"/>
    <w:rsid w:val="00D94ACD"/>
    <w:rsid w:val="00D94DA2"/>
    <w:rsid w:val="00D95D90"/>
    <w:rsid w:val="00D9620E"/>
    <w:rsid w:val="00D966B5"/>
    <w:rsid w:val="00D97266"/>
    <w:rsid w:val="00D973BE"/>
    <w:rsid w:val="00D979DC"/>
    <w:rsid w:val="00DA00BD"/>
    <w:rsid w:val="00DA0C49"/>
    <w:rsid w:val="00DA0EE1"/>
    <w:rsid w:val="00DA10A8"/>
    <w:rsid w:val="00DA15CC"/>
    <w:rsid w:val="00DA20FF"/>
    <w:rsid w:val="00DA244B"/>
    <w:rsid w:val="00DA2478"/>
    <w:rsid w:val="00DA3877"/>
    <w:rsid w:val="00DA5253"/>
    <w:rsid w:val="00DA57B2"/>
    <w:rsid w:val="00DA6742"/>
    <w:rsid w:val="00DA737A"/>
    <w:rsid w:val="00DA7407"/>
    <w:rsid w:val="00DA7BD2"/>
    <w:rsid w:val="00DB00D3"/>
    <w:rsid w:val="00DB16F5"/>
    <w:rsid w:val="00DB1E08"/>
    <w:rsid w:val="00DB26F5"/>
    <w:rsid w:val="00DB2973"/>
    <w:rsid w:val="00DB3410"/>
    <w:rsid w:val="00DB421D"/>
    <w:rsid w:val="00DB4AD9"/>
    <w:rsid w:val="00DB5BFB"/>
    <w:rsid w:val="00DB66AA"/>
    <w:rsid w:val="00DB68E8"/>
    <w:rsid w:val="00DB6CF2"/>
    <w:rsid w:val="00DC0965"/>
    <w:rsid w:val="00DC0FCD"/>
    <w:rsid w:val="00DC145D"/>
    <w:rsid w:val="00DC14DB"/>
    <w:rsid w:val="00DC1B56"/>
    <w:rsid w:val="00DC2129"/>
    <w:rsid w:val="00DC21B3"/>
    <w:rsid w:val="00DC26F2"/>
    <w:rsid w:val="00DC2708"/>
    <w:rsid w:val="00DC30E1"/>
    <w:rsid w:val="00DC4089"/>
    <w:rsid w:val="00DC4189"/>
    <w:rsid w:val="00DC4C13"/>
    <w:rsid w:val="00DC4F84"/>
    <w:rsid w:val="00DC6570"/>
    <w:rsid w:val="00DD1421"/>
    <w:rsid w:val="00DD174B"/>
    <w:rsid w:val="00DD1FC1"/>
    <w:rsid w:val="00DD2715"/>
    <w:rsid w:val="00DD3C5E"/>
    <w:rsid w:val="00DD3D89"/>
    <w:rsid w:val="00DD43FA"/>
    <w:rsid w:val="00DD44E0"/>
    <w:rsid w:val="00DD65F0"/>
    <w:rsid w:val="00DD766C"/>
    <w:rsid w:val="00DD7781"/>
    <w:rsid w:val="00DD7D97"/>
    <w:rsid w:val="00DE05E0"/>
    <w:rsid w:val="00DE12E7"/>
    <w:rsid w:val="00DE1B53"/>
    <w:rsid w:val="00DE27E4"/>
    <w:rsid w:val="00DE2F27"/>
    <w:rsid w:val="00DE39E1"/>
    <w:rsid w:val="00DE4F32"/>
    <w:rsid w:val="00DE60D0"/>
    <w:rsid w:val="00DE629B"/>
    <w:rsid w:val="00DE6383"/>
    <w:rsid w:val="00DE6642"/>
    <w:rsid w:val="00DE740B"/>
    <w:rsid w:val="00DE7B7B"/>
    <w:rsid w:val="00DE7E33"/>
    <w:rsid w:val="00DF01C1"/>
    <w:rsid w:val="00DF0AAC"/>
    <w:rsid w:val="00DF1A11"/>
    <w:rsid w:val="00DF1C44"/>
    <w:rsid w:val="00DF25C3"/>
    <w:rsid w:val="00DF2B01"/>
    <w:rsid w:val="00DF34C7"/>
    <w:rsid w:val="00DF34FF"/>
    <w:rsid w:val="00DF387E"/>
    <w:rsid w:val="00DF3947"/>
    <w:rsid w:val="00DF3B0B"/>
    <w:rsid w:val="00DF5268"/>
    <w:rsid w:val="00DF559E"/>
    <w:rsid w:val="00DF6CAB"/>
    <w:rsid w:val="00DF70CA"/>
    <w:rsid w:val="00DF7CA2"/>
    <w:rsid w:val="00E00D80"/>
    <w:rsid w:val="00E0146D"/>
    <w:rsid w:val="00E01D33"/>
    <w:rsid w:val="00E02968"/>
    <w:rsid w:val="00E04062"/>
    <w:rsid w:val="00E04110"/>
    <w:rsid w:val="00E0469C"/>
    <w:rsid w:val="00E05C24"/>
    <w:rsid w:val="00E06334"/>
    <w:rsid w:val="00E063C6"/>
    <w:rsid w:val="00E0663E"/>
    <w:rsid w:val="00E066BA"/>
    <w:rsid w:val="00E06DC4"/>
    <w:rsid w:val="00E070E1"/>
    <w:rsid w:val="00E07316"/>
    <w:rsid w:val="00E1002C"/>
    <w:rsid w:val="00E105AA"/>
    <w:rsid w:val="00E10D8F"/>
    <w:rsid w:val="00E11869"/>
    <w:rsid w:val="00E11E9B"/>
    <w:rsid w:val="00E1215B"/>
    <w:rsid w:val="00E12A02"/>
    <w:rsid w:val="00E12C5C"/>
    <w:rsid w:val="00E12DD4"/>
    <w:rsid w:val="00E135F0"/>
    <w:rsid w:val="00E14A28"/>
    <w:rsid w:val="00E15461"/>
    <w:rsid w:val="00E15F19"/>
    <w:rsid w:val="00E1776F"/>
    <w:rsid w:val="00E17CCE"/>
    <w:rsid w:val="00E17F13"/>
    <w:rsid w:val="00E2003B"/>
    <w:rsid w:val="00E20057"/>
    <w:rsid w:val="00E203C2"/>
    <w:rsid w:val="00E204E4"/>
    <w:rsid w:val="00E2168F"/>
    <w:rsid w:val="00E227D4"/>
    <w:rsid w:val="00E22D97"/>
    <w:rsid w:val="00E24618"/>
    <w:rsid w:val="00E268C4"/>
    <w:rsid w:val="00E2749D"/>
    <w:rsid w:val="00E279D8"/>
    <w:rsid w:val="00E319B1"/>
    <w:rsid w:val="00E33002"/>
    <w:rsid w:val="00E3324A"/>
    <w:rsid w:val="00E33267"/>
    <w:rsid w:val="00E3352F"/>
    <w:rsid w:val="00E35D3D"/>
    <w:rsid w:val="00E3611A"/>
    <w:rsid w:val="00E36CD8"/>
    <w:rsid w:val="00E36DC1"/>
    <w:rsid w:val="00E37465"/>
    <w:rsid w:val="00E417A5"/>
    <w:rsid w:val="00E426D7"/>
    <w:rsid w:val="00E430C9"/>
    <w:rsid w:val="00E439F5"/>
    <w:rsid w:val="00E441D0"/>
    <w:rsid w:val="00E447C7"/>
    <w:rsid w:val="00E44E0D"/>
    <w:rsid w:val="00E45E70"/>
    <w:rsid w:val="00E45FD7"/>
    <w:rsid w:val="00E46A46"/>
    <w:rsid w:val="00E47916"/>
    <w:rsid w:val="00E47EA5"/>
    <w:rsid w:val="00E5060E"/>
    <w:rsid w:val="00E521D1"/>
    <w:rsid w:val="00E52E89"/>
    <w:rsid w:val="00E5492F"/>
    <w:rsid w:val="00E55334"/>
    <w:rsid w:val="00E55349"/>
    <w:rsid w:val="00E562CC"/>
    <w:rsid w:val="00E56AB5"/>
    <w:rsid w:val="00E57286"/>
    <w:rsid w:val="00E61B2A"/>
    <w:rsid w:val="00E62174"/>
    <w:rsid w:val="00E62AF9"/>
    <w:rsid w:val="00E62DEF"/>
    <w:rsid w:val="00E645CD"/>
    <w:rsid w:val="00E65411"/>
    <w:rsid w:val="00E65A62"/>
    <w:rsid w:val="00E666D6"/>
    <w:rsid w:val="00E666FE"/>
    <w:rsid w:val="00E676F4"/>
    <w:rsid w:val="00E705D4"/>
    <w:rsid w:val="00E70792"/>
    <w:rsid w:val="00E70A86"/>
    <w:rsid w:val="00E730C8"/>
    <w:rsid w:val="00E730F8"/>
    <w:rsid w:val="00E732B7"/>
    <w:rsid w:val="00E73D14"/>
    <w:rsid w:val="00E742E5"/>
    <w:rsid w:val="00E74D5E"/>
    <w:rsid w:val="00E75346"/>
    <w:rsid w:val="00E75A97"/>
    <w:rsid w:val="00E7612E"/>
    <w:rsid w:val="00E7626F"/>
    <w:rsid w:val="00E7673B"/>
    <w:rsid w:val="00E769D7"/>
    <w:rsid w:val="00E773E8"/>
    <w:rsid w:val="00E77435"/>
    <w:rsid w:val="00E777EC"/>
    <w:rsid w:val="00E807BC"/>
    <w:rsid w:val="00E80FCD"/>
    <w:rsid w:val="00E81550"/>
    <w:rsid w:val="00E822B8"/>
    <w:rsid w:val="00E831C2"/>
    <w:rsid w:val="00E8444A"/>
    <w:rsid w:val="00E84BB4"/>
    <w:rsid w:val="00E85101"/>
    <w:rsid w:val="00E853E7"/>
    <w:rsid w:val="00E8580D"/>
    <w:rsid w:val="00E85D29"/>
    <w:rsid w:val="00E87935"/>
    <w:rsid w:val="00E9169D"/>
    <w:rsid w:val="00E91816"/>
    <w:rsid w:val="00E91DE5"/>
    <w:rsid w:val="00E925D6"/>
    <w:rsid w:val="00E9389D"/>
    <w:rsid w:val="00E954D8"/>
    <w:rsid w:val="00E96CB8"/>
    <w:rsid w:val="00E97488"/>
    <w:rsid w:val="00E97641"/>
    <w:rsid w:val="00EA03A8"/>
    <w:rsid w:val="00EA0F9A"/>
    <w:rsid w:val="00EA1777"/>
    <w:rsid w:val="00EA18ED"/>
    <w:rsid w:val="00EA20E2"/>
    <w:rsid w:val="00EA2606"/>
    <w:rsid w:val="00EA3897"/>
    <w:rsid w:val="00EA3ECB"/>
    <w:rsid w:val="00EA5090"/>
    <w:rsid w:val="00EA5177"/>
    <w:rsid w:val="00EA53E9"/>
    <w:rsid w:val="00EA5671"/>
    <w:rsid w:val="00EA5AE9"/>
    <w:rsid w:val="00EA6031"/>
    <w:rsid w:val="00EA6A40"/>
    <w:rsid w:val="00EA76EC"/>
    <w:rsid w:val="00EA7B10"/>
    <w:rsid w:val="00EA7F2F"/>
    <w:rsid w:val="00EB066B"/>
    <w:rsid w:val="00EB154A"/>
    <w:rsid w:val="00EB2A5E"/>
    <w:rsid w:val="00EB2B32"/>
    <w:rsid w:val="00EB2F8D"/>
    <w:rsid w:val="00EB338F"/>
    <w:rsid w:val="00EB34D5"/>
    <w:rsid w:val="00EB3CE2"/>
    <w:rsid w:val="00EB4039"/>
    <w:rsid w:val="00EB40B8"/>
    <w:rsid w:val="00EB46A4"/>
    <w:rsid w:val="00EB4849"/>
    <w:rsid w:val="00EB4B74"/>
    <w:rsid w:val="00EB4D1B"/>
    <w:rsid w:val="00EB5CC0"/>
    <w:rsid w:val="00EB677E"/>
    <w:rsid w:val="00EC00DE"/>
    <w:rsid w:val="00EC04E6"/>
    <w:rsid w:val="00EC17F1"/>
    <w:rsid w:val="00EC2260"/>
    <w:rsid w:val="00EC2902"/>
    <w:rsid w:val="00EC2C05"/>
    <w:rsid w:val="00EC2C82"/>
    <w:rsid w:val="00EC30E1"/>
    <w:rsid w:val="00EC3ECA"/>
    <w:rsid w:val="00EC5E0A"/>
    <w:rsid w:val="00EC601C"/>
    <w:rsid w:val="00ED13B9"/>
    <w:rsid w:val="00ED172A"/>
    <w:rsid w:val="00ED179D"/>
    <w:rsid w:val="00ED1AAB"/>
    <w:rsid w:val="00ED3CD0"/>
    <w:rsid w:val="00ED3F4A"/>
    <w:rsid w:val="00ED5B6F"/>
    <w:rsid w:val="00ED62C7"/>
    <w:rsid w:val="00ED66F3"/>
    <w:rsid w:val="00ED749E"/>
    <w:rsid w:val="00ED7FCC"/>
    <w:rsid w:val="00EE0225"/>
    <w:rsid w:val="00EE0B4F"/>
    <w:rsid w:val="00EE154E"/>
    <w:rsid w:val="00EE2EE7"/>
    <w:rsid w:val="00EE3EE1"/>
    <w:rsid w:val="00EE5796"/>
    <w:rsid w:val="00EE6C05"/>
    <w:rsid w:val="00EE7839"/>
    <w:rsid w:val="00EE7AA1"/>
    <w:rsid w:val="00EF0282"/>
    <w:rsid w:val="00EF04D7"/>
    <w:rsid w:val="00EF0A6A"/>
    <w:rsid w:val="00EF101E"/>
    <w:rsid w:val="00EF182A"/>
    <w:rsid w:val="00EF1BEE"/>
    <w:rsid w:val="00EF20A1"/>
    <w:rsid w:val="00EF2E14"/>
    <w:rsid w:val="00EF2FA0"/>
    <w:rsid w:val="00EF3301"/>
    <w:rsid w:val="00EF4474"/>
    <w:rsid w:val="00EF486A"/>
    <w:rsid w:val="00EF5209"/>
    <w:rsid w:val="00EF5DFC"/>
    <w:rsid w:val="00EF71BC"/>
    <w:rsid w:val="00EF7B7F"/>
    <w:rsid w:val="00EF7FA1"/>
    <w:rsid w:val="00F002DB"/>
    <w:rsid w:val="00F007CC"/>
    <w:rsid w:val="00F009BC"/>
    <w:rsid w:val="00F00AB0"/>
    <w:rsid w:val="00F038FA"/>
    <w:rsid w:val="00F04904"/>
    <w:rsid w:val="00F04D71"/>
    <w:rsid w:val="00F06758"/>
    <w:rsid w:val="00F0687E"/>
    <w:rsid w:val="00F06DC0"/>
    <w:rsid w:val="00F07DF9"/>
    <w:rsid w:val="00F07EC5"/>
    <w:rsid w:val="00F10297"/>
    <w:rsid w:val="00F10B11"/>
    <w:rsid w:val="00F11BB7"/>
    <w:rsid w:val="00F11F6C"/>
    <w:rsid w:val="00F12FBF"/>
    <w:rsid w:val="00F13468"/>
    <w:rsid w:val="00F13649"/>
    <w:rsid w:val="00F13B06"/>
    <w:rsid w:val="00F13F20"/>
    <w:rsid w:val="00F14331"/>
    <w:rsid w:val="00F14BEC"/>
    <w:rsid w:val="00F15024"/>
    <w:rsid w:val="00F17A7B"/>
    <w:rsid w:val="00F20115"/>
    <w:rsid w:val="00F21180"/>
    <w:rsid w:val="00F2126A"/>
    <w:rsid w:val="00F219DB"/>
    <w:rsid w:val="00F21A49"/>
    <w:rsid w:val="00F225C5"/>
    <w:rsid w:val="00F22DAF"/>
    <w:rsid w:val="00F23103"/>
    <w:rsid w:val="00F236AD"/>
    <w:rsid w:val="00F24F26"/>
    <w:rsid w:val="00F2587A"/>
    <w:rsid w:val="00F26251"/>
    <w:rsid w:val="00F2674F"/>
    <w:rsid w:val="00F26AAF"/>
    <w:rsid w:val="00F26B71"/>
    <w:rsid w:val="00F26D4F"/>
    <w:rsid w:val="00F300C1"/>
    <w:rsid w:val="00F302A1"/>
    <w:rsid w:val="00F302B4"/>
    <w:rsid w:val="00F30834"/>
    <w:rsid w:val="00F30DEC"/>
    <w:rsid w:val="00F313D5"/>
    <w:rsid w:val="00F31740"/>
    <w:rsid w:val="00F31A4A"/>
    <w:rsid w:val="00F31F1F"/>
    <w:rsid w:val="00F33299"/>
    <w:rsid w:val="00F33BAB"/>
    <w:rsid w:val="00F344ED"/>
    <w:rsid w:val="00F35CAC"/>
    <w:rsid w:val="00F35E2A"/>
    <w:rsid w:val="00F35E85"/>
    <w:rsid w:val="00F36DF3"/>
    <w:rsid w:val="00F3715D"/>
    <w:rsid w:val="00F37719"/>
    <w:rsid w:val="00F37761"/>
    <w:rsid w:val="00F3777D"/>
    <w:rsid w:val="00F3797F"/>
    <w:rsid w:val="00F379CB"/>
    <w:rsid w:val="00F37AAB"/>
    <w:rsid w:val="00F37BBB"/>
    <w:rsid w:val="00F40222"/>
    <w:rsid w:val="00F40DAE"/>
    <w:rsid w:val="00F40FA5"/>
    <w:rsid w:val="00F41310"/>
    <w:rsid w:val="00F4149F"/>
    <w:rsid w:val="00F4180F"/>
    <w:rsid w:val="00F420C8"/>
    <w:rsid w:val="00F42A4C"/>
    <w:rsid w:val="00F44233"/>
    <w:rsid w:val="00F45056"/>
    <w:rsid w:val="00F4514B"/>
    <w:rsid w:val="00F45311"/>
    <w:rsid w:val="00F45ED7"/>
    <w:rsid w:val="00F4678D"/>
    <w:rsid w:val="00F46E44"/>
    <w:rsid w:val="00F46F9B"/>
    <w:rsid w:val="00F47690"/>
    <w:rsid w:val="00F47FF1"/>
    <w:rsid w:val="00F505DB"/>
    <w:rsid w:val="00F50C01"/>
    <w:rsid w:val="00F51327"/>
    <w:rsid w:val="00F51F3C"/>
    <w:rsid w:val="00F53151"/>
    <w:rsid w:val="00F534DC"/>
    <w:rsid w:val="00F53AC0"/>
    <w:rsid w:val="00F53E39"/>
    <w:rsid w:val="00F5406C"/>
    <w:rsid w:val="00F54443"/>
    <w:rsid w:val="00F549E8"/>
    <w:rsid w:val="00F554BF"/>
    <w:rsid w:val="00F55998"/>
    <w:rsid w:val="00F559F8"/>
    <w:rsid w:val="00F55A97"/>
    <w:rsid w:val="00F561B1"/>
    <w:rsid w:val="00F56F96"/>
    <w:rsid w:val="00F5776F"/>
    <w:rsid w:val="00F604DE"/>
    <w:rsid w:val="00F6092F"/>
    <w:rsid w:val="00F60E09"/>
    <w:rsid w:val="00F6184E"/>
    <w:rsid w:val="00F61A00"/>
    <w:rsid w:val="00F62681"/>
    <w:rsid w:val="00F65010"/>
    <w:rsid w:val="00F66902"/>
    <w:rsid w:val="00F6736A"/>
    <w:rsid w:val="00F6740D"/>
    <w:rsid w:val="00F67E0E"/>
    <w:rsid w:val="00F708DD"/>
    <w:rsid w:val="00F70E01"/>
    <w:rsid w:val="00F717B2"/>
    <w:rsid w:val="00F72A36"/>
    <w:rsid w:val="00F738A3"/>
    <w:rsid w:val="00F74820"/>
    <w:rsid w:val="00F74BAC"/>
    <w:rsid w:val="00F74CCE"/>
    <w:rsid w:val="00F74E15"/>
    <w:rsid w:val="00F75F12"/>
    <w:rsid w:val="00F76314"/>
    <w:rsid w:val="00F77580"/>
    <w:rsid w:val="00F800B7"/>
    <w:rsid w:val="00F80E1E"/>
    <w:rsid w:val="00F81932"/>
    <w:rsid w:val="00F820E8"/>
    <w:rsid w:val="00F8471D"/>
    <w:rsid w:val="00F84B0A"/>
    <w:rsid w:val="00F84F52"/>
    <w:rsid w:val="00F85B7A"/>
    <w:rsid w:val="00F85C53"/>
    <w:rsid w:val="00F86147"/>
    <w:rsid w:val="00F868B8"/>
    <w:rsid w:val="00F870BB"/>
    <w:rsid w:val="00F90A2F"/>
    <w:rsid w:val="00F91705"/>
    <w:rsid w:val="00F92E57"/>
    <w:rsid w:val="00F936C7"/>
    <w:rsid w:val="00F95400"/>
    <w:rsid w:val="00F95A7F"/>
    <w:rsid w:val="00F96D94"/>
    <w:rsid w:val="00FA009D"/>
    <w:rsid w:val="00FA2A5C"/>
    <w:rsid w:val="00FA2B36"/>
    <w:rsid w:val="00FA2BFD"/>
    <w:rsid w:val="00FA3AE3"/>
    <w:rsid w:val="00FA3C66"/>
    <w:rsid w:val="00FA49DB"/>
    <w:rsid w:val="00FA4E6A"/>
    <w:rsid w:val="00FA4EE3"/>
    <w:rsid w:val="00FA65CE"/>
    <w:rsid w:val="00FA7465"/>
    <w:rsid w:val="00FB070D"/>
    <w:rsid w:val="00FB14A6"/>
    <w:rsid w:val="00FB1CB0"/>
    <w:rsid w:val="00FB26B2"/>
    <w:rsid w:val="00FB5B27"/>
    <w:rsid w:val="00FB7108"/>
    <w:rsid w:val="00FB7512"/>
    <w:rsid w:val="00FC159B"/>
    <w:rsid w:val="00FC1AE3"/>
    <w:rsid w:val="00FC4124"/>
    <w:rsid w:val="00FC5539"/>
    <w:rsid w:val="00FC561A"/>
    <w:rsid w:val="00FC5FFD"/>
    <w:rsid w:val="00FC6BD8"/>
    <w:rsid w:val="00FC6D11"/>
    <w:rsid w:val="00FC6E1B"/>
    <w:rsid w:val="00FC7F1E"/>
    <w:rsid w:val="00FD0EB3"/>
    <w:rsid w:val="00FD0FB8"/>
    <w:rsid w:val="00FD1384"/>
    <w:rsid w:val="00FD173F"/>
    <w:rsid w:val="00FD1AB3"/>
    <w:rsid w:val="00FD2341"/>
    <w:rsid w:val="00FD2A6C"/>
    <w:rsid w:val="00FD31AD"/>
    <w:rsid w:val="00FD4A22"/>
    <w:rsid w:val="00FD58CA"/>
    <w:rsid w:val="00FD5B2A"/>
    <w:rsid w:val="00FD6364"/>
    <w:rsid w:val="00FD7050"/>
    <w:rsid w:val="00FD7479"/>
    <w:rsid w:val="00FD7547"/>
    <w:rsid w:val="00FD7B9F"/>
    <w:rsid w:val="00FE00E3"/>
    <w:rsid w:val="00FE0892"/>
    <w:rsid w:val="00FE0EA1"/>
    <w:rsid w:val="00FE2DA9"/>
    <w:rsid w:val="00FE2F69"/>
    <w:rsid w:val="00FE3172"/>
    <w:rsid w:val="00FE454B"/>
    <w:rsid w:val="00FE5EE5"/>
    <w:rsid w:val="00FE6ED3"/>
    <w:rsid w:val="00FF0216"/>
    <w:rsid w:val="00FF08B5"/>
    <w:rsid w:val="00FF0F11"/>
    <w:rsid w:val="00FF1122"/>
    <w:rsid w:val="00FF18D0"/>
    <w:rsid w:val="00FF1F61"/>
    <w:rsid w:val="00FF202E"/>
    <w:rsid w:val="00FF24DB"/>
    <w:rsid w:val="00FF2683"/>
    <w:rsid w:val="00FF38C6"/>
    <w:rsid w:val="00FF4AA7"/>
    <w:rsid w:val="00FF4B25"/>
    <w:rsid w:val="00FF5042"/>
    <w:rsid w:val="00FF509D"/>
    <w:rsid w:val="00FF5997"/>
    <w:rsid w:val="00FF5A28"/>
    <w:rsid w:val="00FF5E66"/>
    <w:rsid w:val="00FF5E9E"/>
    <w:rsid w:val="00FF5F5C"/>
    <w:rsid w:val="00FF7072"/>
    <w:rsid w:val="00FF72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2822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val="en-AU" w:eastAsia="en-US" w:bidi="en-US"/>
    </w:rPr>
  </w:style>
  <w:style w:type="paragraph" w:styleId="Heading1">
    <w:name w:val="heading 1"/>
    <w:aliases w:val="FSHeading 1,Chapter heading,FS Heading 1"/>
    <w:basedOn w:val="Normal"/>
    <w:next w:val="Normal"/>
    <w:link w:val="Heading1Char"/>
    <w:autoRedefine/>
    <w:uiPriority w:val="2"/>
    <w:qFormat/>
    <w:rsid w:val="00997D23"/>
    <w:pPr>
      <w:keepNext/>
      <w:spacing w:after="240"/>
      <w:ind w:left="851" w:hanging="851"/>
      <w:outlineLvl w:val="0"/>
    </w:pPr>
    <w:rPr>
      <w:b/>
      <w:bCs/>
      <w:sz w:val="36"/>
      <w:szCs w:val="28"/>
      <w:lang w:val="en-GB" w:bidi="ar-SA"/>
    </w:rPr>
  </w:style>
  <w:style w:type="paragraph" w:styleId="Heading2">
    <w:name w:val="heading 2"/>
    <w:aliases w:val="FSHeading 2,Section heading"/>
    <w:basedOn w:val="Normal"/>
    <w:next w:val="Normal"/>
    <w:link w:val="Heading2Char"/>
    <w:autoRedefine/>
    <w:uiPriority w:val="2"/>
    <w:unhideWhenUsed/>
    <w:qFormat/>
    <w:rsid w:val="00B14D36"/>
    <w:pPr>
      <w:keepNext/>
      <w:widowControl/>
      <w:spacing w:before="240" w:after="240"/>
      <w:ind w:left="851" w:hanging="851"/>
      <w:outlineLvl w:val="1"/>
    </w:pPr>
    <w:rPr>
      <w:rFonts w:eastAsiaTheme="majorEastAsia" w:cs="Arial"/>
      <w:b/>
      <w:bCs/>
      <w:sz w:val="28"/>
      <w:szCs w:val="22"/>
      <w:lang w:val="en-GB" w:bidi="ar-SA"/>
    </w:rPr>
  </w:style>
  <w:style w:type="paragraph" w:styleId="Heading3">
    <w:name w:val="heading 3"/>
    <w:aliases w:val="FSHeading 3,Subheading 1"/>
    <w:basedOn w:val="Normal"/>
    <w:next w:val="Normal"/>
    <w:link w:val="Heading3Char"/>
    <w:autoRedefine/>
    <w:uiPriority w:val="2"/>
    <w:unhideWhenUsed/>
    <w:qFormat/>
    <w:rsid w:val="00B14D36"/>
    <w:pPr>
      <w:keepNext/>
      <w:widowControl/>
      <w:spacing w:before="240" w:after="240"/>
      <w:ind w:left="851" w:hanging="851"/>
      <w:outlineLvl w:val="2"/>
    </w:pPr>
    <w:rPr>
      <w:rFonts w:eastAsiaTheme="majorEastAsia" w:cstheme="majorBidi"/>
      <w:b/>
      <w:bCs/>
      <w:lang w:val="en-GB"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997D23"/>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B14D36"/>
    <w:rPr>
      <w:rFonts w:ascii="Arial" w:eastAsiaTheme="majorEastAsia" w:hAnsi="Arial" w:cs="Arial"/>
      <w:b/>
      <w:bCs/>
      <w:sz w:val="28"/>
      <w:szCs w:val="22"/>
      <w:lang w:eastAsia="en-US"/>
    </w:rPr>
  </w:style>
  <w:style w:type="character" w:customStyle="1" w:styleId="Heading3Char">
    <w:name w:val="Heading 3 Char"/>
    <w:aliases w:val="FSHeading 3 Char,Subheading 1 Char"/>
    <w:link w:val="Heading3"/>
    <w:uiPriority w:val="2"/>
    <w:rsid w:val="00B14D36"/>
    <w:rPr>
      <w:rFonts w:ascii="Arial" w:eastAsiaTheme="majorEastAsia" w:hAnsi="Arial" w:cstheme="majorBidi"/>
      <w:b/>
      <w:bCs/>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80324"/>
    <w:pPr>
      <w:numPr>
        <w:numId w:val="5"/>
      </w:numPr>
      <w:spacing w:before="0" w:after="240"/>
      <w:outlineLvl w:val="0"/>
    </w:pPr>
    <w:rPr>
      <w:bCs w:val="0"/>
      <w:sz w:val="36"/>
    </w:rPr>
  </w:style>
  <w:style w:type="paragraph" w:customStyle="1" w:styleId="FSCh2Part">
    <w:name w:val="FSC_h2_Part"/>
    <w:basedOn w:val="FSCbaseheading"/>
    <w:next w:val="Normal"/>
    <w:autoRedefine/>
    <w:qFormat/>
    <w:rsid w:val="00934A1F"/>
    <w:pPr>
      <w:numPr>
        <w:ilvl w:val="1"/>
        <w:numId w:val="12"/>
      </w:numPr>
      <w:spacing w:before="240" w:after="240"/>
      <w:outlineLvl w:val="1"/>
    </w:pPr>
    <w:rPr>
      <w:bCs w:val="0"/>
      <w:sz w:val="32"/>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8F49B9"/>
    <w:pPr>
      <w:ind w:left="720"/>
      <w:contextualSpacing/>
    </w:pPr>
  </w:style>
  <w:style w:type="numbering" w:customStyle="1" w:styleId="Style1">
    <w:name w:val="Style1"/>
    <w:uiPriority w:val="99"/>
    <w:rsid w:val="00E5060E"/>
    <w:pPr>
      <w:numPr>
        <w:numId w:val="23"/>
      </w:numPr>
    </w:pPr>
  </w:style>
  <w:style w:type="character" w:customStyle="1" w:styleId="FootnoteTextChar">
    <w:name w:val="Footnote Text Char"/>
    <w:aliases w:val="Footnotes Text Char,FSFootnotes Text Char"/>
    <w:basedOn w:val="DefaultParagraphFont"/>
    <w:link w:val="FootnoteText"/>
    <w:uiPriority w:val="5"/>
    <w:rsid w:val="0090082B"/>
    <w:rPr>
      <w:rFonts w:ascii="Arial" w:hAnsi="Arial"/>
      <w:lang w:val="en-AU" w:eastAsia="en-US" w:bidi="en-US"/>
    </w:rPr>
  </w:style>
  <w:style w:type="paragraph" w:styleId="CommentSubject">
    <w:name w:val="annotation subject"/>
    <w:basedOn w:val="CommentText"/>
    <w:next w:val="CommentText"/>
    <w:link w:val="CommentSubjectChar"/>
    <w:rsid w:val="00D73877"/>
    <w:rPr>
      <w:b/>
      <w:bCs/>
    </w:rPr>
  </w:style>
  <w:style w:type="character" w:customStyle="1" w:styleId="CommentSubjectChar">
    <w:name w:val="Comment Subject Char"/>
    <w:basedOn w:val="CommentTextChar"/>
    <w:link w:val="CommentSubject"/>
    <w:rsid w:val="00D73877"/>
    <w:rPr>
      <w:rFonts w:ascii="Arial" w:hAnsi="Arial"/>
      <w:b/>
      <w:bCs/>
      <w:lang w:val="en-AU" w:eastAsia="en-US" w:bidi="en-US"/>
    </w:rPr>
  </w:style>
  <w:style w:type="character" w:customStyle="1" w:styleId="tgc">
    <w:name w:val="_tgc"/>
    <w:basedOn w:val="DefaultParagraphFont"/>
    <w:rsid w:val="005A402D"/>
  </w:style>
  <w:style w:type="paragraph" w:customStyle="1" w:styleId="Default">
    <w:name w:val="Default"/>
    <w:rsid w:val="00457B2D"/>
    <w:pPr>
      <w:autoSpaceDE w:val="0"/>
      <w:autoSpaceDN w:val="0"/>
      <w:adjustRightInd w:val="0"/>
    </w:pPr>
    <w:rPr>
      <w:rFonts w:ascii="Arial" w:hAnsi="Arial" w:cs="Arial"/>
      <w:color w:val="000000"/>
      <w:sz w:val="24"/>
      <w:szCs w:val="24"/>
    </w:rPr>
  </w:style>
  <w:style w:type="table" w:styleId="LightList-Accent1">
    <w:name w:val="Light List Accent 1"/>
    <w:basedOn w:val="TableNormal"/>
    <w:uiPriority w:val="61"/>
    <w:rsid w:val="00D36C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36C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B26A5D"/>
    <w:rPr>
      <w:rFonts w:ascii="Arial" w:hAnsi="Arial"/>
      <w:szCs w:val="24"/>
      <w:lang w:val="en-AU" w:eastAsia="en-US" w:bidi="en-US"/>
    </w:rPr>
  </w:style>
  <w:style w:type="table" w:customStyle="1" w:styleId="TableGrid1">
    <w:name w:val="Table Grid1"/>
    <w:basedOn w:val="TableNormal"/>
    <w:next w:val="TableGrid"/>
    <w:uiPriority w:val="59"/>
    <w:rsid w:val="00AE7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77946"/>
  </w:style>
  <w:style w:type="table" w:customStyle="1" w:styleId="TableGrid2">
    <w:name w:val="Table Grid2"/>
    <w:basedOn w:val="TableNormal"/>
    <w:next w:val="TableGrid"/>
    <w:uiPriority w:val="59"/>
    <w:rsid w:val="003779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3779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
    <w:uiPriority w:val="61"/>
    <w:rsid w:val="0037794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3779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ference">
    <w:name w:val="reference"/>
    <w:basedOn w:val="Normal"/>
    <w:link w:val="referenceChar"/>
    <w:qFormat/>
    <w:rsid w:val="00B763ED"/>
    <w:pPr>
      <w:spacing w:before="120" w:after="120"/>
    </w:pPr>
    <w:rPr>
      <w:color w:val="000000" w:themeColor="text1"/>
      <w:szCs w:val="23"/>
    </w:rPr>
  </w:style>
  <w:style w:type="character" w:customStyle="1" w:styleId="referenceChar">
    <w:name w:val="reference Char"/>
    <w:basedOn w:val="DefaultParagraphFont"/>
    <w:link w:val="reference"/>
    <w:rsid w:val="00B763ED"/>
    <w:rPr>
      <w:rFonts w:ascii="Arial" w:hAnsi="Arial"/>
      <w:color w:val="000000" w:themeColor="text1"/>
      <w:sz w:val="22"/>
      <w:szCs w:val="23"/>
      <w:lang w:val="en-AU" w:eastAsia="en-US" w:bidi="en-US"/>
    </w:rPr>
  </w:style>
  <w:style w:type="character" w:styleId="EndnoteReference">
    <w:name w:val="endnote reference"/>
    <w:basedOn w:val="DefaultParagraphFont"/>
    <w:rsid w:val="0066505F"/>
    <w:rPr>
      <w:vertAlign w:val="superscript"/>
    </w:rPr>
  </w:style>
  <w:style w:type="character" w:customStyle="1" w:styleId="highlight2">
    <w:name w:val="highlight2"/>
    <w:basedOn w:val="DefaultParagraphFont"/>
    <w:rsid w:val="00FF2683"/>
  </w:style>
  <w:style w:type="paragraph" w:styleId="Revision">
    <w:name w:val="Revision"/>
    <w:hidden/>
    <w:uiPriority w:val="99"/>
    <w:semiHidden/>
    <w:rsid w:val="00287BB7"/>
    <w:rPr>
      <w:rFonts w:ascii="Arial" w:hAnsi="Arial"/>
      <w:sz w:val="22"/>
      <w:szCs w:val="24"/>
      <w:lang w:val="en-AU" w:eastAsia="en-US" w:bidi="en-US"/>
    </w:rPr>
  </w:style>
  <w:style w:type="character" w:styleId="IntenseEmphasis">
    <w:name w:val="Intense Emphasis"/>
    <w:basedOn w:val="DefaultParagraphFont"/>
    <w:uiPriority w:val="21"/>
    <w:rsid w:val="00A57EE4"/>
    <w:rPr>
      <w:b/>
      <w:bCs/>
      <w:i/>
      <w:iCs/>
      <w:color w:val="4F81BD" w:themeColor="accent1"/>
    </w:rPr>
  </w:style>
  <w:style w:type="table" w:customStyle="1" w:styleId="TableGrid3">
    <w:name w:val="Table Grid3"/>
    <w:basedOn w:val="TableNormal"/>
    <w:next w:val="TableGrid"/>
    <w:uiPriority w:val="59"/>
    <w:rsid w:val="00A57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0C1F9F"/>
    <w:rPr>
      <w:sz w:val="20"/>
      <w:szCs w:val="20"/>
    </w:rPr>
  </w:style>
  <w:style w:type="character" w:customStyle="1" w:styleId="EndnoteTextChar">
    <w:name w:val="Endnote Text Char"/>
    <w:basedOn w:val="DefaultParagraphFont"/>
    <w:link w:val="EndnoteText"/>
    <w:rsid w:val="000C1F9F"/>
    <w:rPr>
      <w:rFonts w:ascii="Arial" w:hAnsi="Arial"/>
      <w:lang w:val="en-AU"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val="en-AU" w:eastAsia="en-US" w:bidi="en-US"/>
    </w:rPr>
  </w:style>
  <w:style w:type="paragraph" w:styleId="Heading1">
    <w:name w:val="heading 1"/>
    <w:aliases w:val="FSHeading 1,Chapter heading,FS Heading 1"/>
    <w:basedOn w:val="Normal"/>
    <w:next w:val="Normal"/>
    <w:link w:val="Heading1Char"/>
    <w:autoRedefine/>
    <w:uiPriority w:val="2"/>
    <w:qFormat/>
    <w:rsid w:val="00997D23"/>
    <w:pPr>
      <w:keepNext/>
      <w:spacing w:after="240"/>
      <w:ind w:left="851" w:hanging="851"/>
      <w:outlineLvl w:val="0"/>
    </w:pPr>
    <w:rPr>
      <w:b/>
      <w:bCs/>
      <w:sz w:val="36"/>
      <w:szCs w:val="28"/>
      <w:lang w:val="en-GB" w:bidi="ar-SA"/>
    </w:rPr>
  </w:style>
  <w:style w:type="paragraph" w:styleId="Heading2">
    <w:name w:val="heading 2"/>
    <w:aliases w:val="FSHeading 2,Section heading"/>
    <w:basedOn w:val="Normal"/>
    <w:next w:val="Normal"/>
    <w:link w:val="Heading2Char"/>
    <w:autoRedefine/>
    <w:uiPriority w:val="2"/>
    <w:unhideWhenUsed/>
    <w:qFormat/>
    <w:rsid w:val="00B14D36"/>
    <w:pPr>
      <w:keepNext/>
      <w:widowControl/>
      <w:spacing w:before="240" w:after="240"/>
      <w:ind w:left="851" w:hanging="851"/>
      <w:outlineLvl w:val="1"/>
    </w:pPr>
    <w:rPr>
      <w:rFonts w:eastAsiaTheme="majorEastAsia" w:cs="Arial"/>
      <w:b/>
      <w:bCs/>
      <w:sz w:val="28"/>
      <w:szCs w:val="22"/>
      <w:lang w:val="en-GB" w:bidi="ar-SA"/>
    </w:rPr>
  </w:style>
  <w:style w:type="paragraph" w:styleId="Heading3">
    <w:name w:val="heading 3"/>
    <w:aliases w:val="FSHeading 3,Subheading 1"/>
    <w:basedOn w:val="Normal"/>
    <w:next w:val="Normal"/>
    <w:link w:val="Heading3Char"/>
    <w:autoRedefine/>
    <w:uiPriority w:val="2"/>
    <w:unhideWhenUsed/>
    <w:qFormat/>
    <w:rsid w:val="00B14D36"/>
    <w:pPr>
      <w:keepNext/>
      <w:widowControl/>
      <w:spacing w:before="240" w:after="240"/>
      <w:ind w:left="851" w:hanging="851"/>
      <w:outlineLvl w:val="2"/>
    </w:pPr>
    <w:rPr>
      <w:rFonts w:eastAsiaTheme="majorEastAsia" w:cstheme="majorBidi"/>
      <w:b/>
      <w:bCs/>
      <w:lang w:val="en-GB"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2"/>
    <w:rsid w:val="00997D23"/>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B14D36"/>
    <w:rPr>
      <w:rFonts w:ascii="Arial" w:eastAsiaTheme="majorEastAsia" w:hAnsi="Arial" w:cs="Arial"/>
      <w:b/>
      <w:bCs/>
      <w:sz w:val="28"/>
      <w:szCs w:val="22"/>
      <w:lang w:eastAsia="en-US"/>
    </w:rPr>
  </w:style>
  <w:style w:type="character" w:customStyle="1" w:styleId="Heading3Char">
    <w:name w:val="Heading 3 Char"/>
    <w:aliases w:val="FSHeading 3 Char,Subheading 1 Char"/>
    <w:link w:val="Heading3"/>
    <w:uiPriority w:val="2"/>
    <w:rsid w:val="00B14D36"/>
    <w:rPr>
      <w:rFonts w:ascii="Arial" w:eastAsiaTheme="majorEastAsia" w:hAnsi="Arial" w:cstheme="majorBidi"/>
      <w:b/>
      <w:bCs/>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80324"/>
    <w:pPr>
      <w:numPr>
        <w:numId w:val="5"/>
      </w:numPr>
      <w:spacing w:before="0" w:after="240"/>
      <w:outlineLvl w:val="0"/>
    </w:pPr>
    <w:rPr>
      <w:bCs w:val="0"/>
      <w:sz w:val="36"/>
    </w:rPr>
  </w:style>
  <w:style w:type="paragraph" w:customStyle="1" w:styleId="FSCh2Part">
    <w:name w:val="FSC_h2_Part"/>
    <w:basedOn w:val="FSCbaseheading"/>
    <w:next w:val="Normal"/>
    <w:autoRedefine/>
    <w:qFormat/>
    <w:rsid w:val="00934A1F"/>
    <w:pPr>
      <w:numPr>
        <w:ilvl w:val="1"/>
        <w:numId w:val="12"/>
      </w:numPr>
      <w:spacing w:before="240" w:after="240"/>
      <w:outlineLvl w:val="1"/>
    </w:pPr>
    <w:rPr>
      <w:bCs w:val="0"/>
      <w:sz w:val="32"/>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8F49B9"/>
    <w:pPr>
      <w:ind w:left="720"/>
      <w:contextualSpacing/>
    </w:pPr>
  </w:style>
  <w:style w:type="numbering" w:customStyle="1" w:styleId="Style1">
    <w:name w:val="Style1"/>
    <w:uiPriority w:val="99"/>
    <w:rsid w:val="00E5060E"/>
    <w:pPr>
      <w:numPr>
        <w:numId w:val="23"/>
      </w:numPr>
    </w:pPr>
  </w:style>
  <w:style w:type="character" w:customStyle="1" w:styleId="FootnoteTextChar">
    <w:name w:val="Footnote Text Char"/>
    <w:aliases w:val="Footnotes Text Char,FSFootnotes Text Char"/>
    <w:basedOn w:val="DefaultParagraphFont"/>
    <w:link w:val="FootnoteText"/>
    <w:uiPriority w:val="5"/>
    <w:rsid w:val="0090082B"/>
    <w:rPr>
      <w:rFonts w:ascii="Arial" w:hAnsi="Arial"/>
      <w:lang w:val="en-AU" w:eastAsia="en-US" w:bidi="en-US"/>
    </w:rPr>
  </w:style>
  <w:style w:type="paragraph" w:styleId="CommentSubject">
    <w:name w:val="annotation subject"/>
    <w:basedOn w:val="CommentText"/>
    <w:next w:val="CommentText"/>
    <w:link w:val="CommentSubjectChar"/>
    <w:rsid w:val="00D73877"/>
    <w:rPr>
      <w:b/>
      <w:bCs/>
    </w:rPr>
  </w:style>
  <w:style w:type="character" w:customStyle="1" w:styleId="CommentSubjectChar">
    <w:name w:val="Comment Subject Char"/>
    <w:basedOn w:val="CommentTextChar"/>
    <w:link w:val="CommentSubject"/>
    <w:rsid w:val="00D73877"/>
    <w:rPr>
      <w:rFonts w:ascii="Arial" w:hAnsi="Arial"/>
      <w:b/>
      <w:bCs/>
      <w:lang w:val="en-AU" w:eastAsia="en-US" w:bidi="en-US"/>
    </w:rPr>
  </w:style>
  <w:style w:type="character" w:customStyle="1" w:styleId="tgc">
    <w:name w:val="_tgc"/>
    <w:basedOn w:val="DefaultParagraphFont"/>
    <w:rsid w:val="005A402D"/>
  </w:style>
  <w:style w:type="paragraph" w:customStyle="1" w:styleId="Default">
    <w:name w:val="Default"/>
    <w:rsid w:val="00457B2D"/>
    <w:pPr>
      <w:autoSpaceDE w:val="0"/>
      <w:autoSpaceDN w:val="0"/>
      <w:adjustRightInd w:val="0"/>
    </w:pPr>
    <w:rPr>
      <w:rFonts w:ascii="Arial" w:hAnsi="Arial" w:cs="Arial"/>
      <w:color w:val="000000"/>
      <w:sz w:val="24"/>
      <w:szCs w:val="24"/>
    </w:rPr>
  </w:style>
  <w:style w:type="table" w:styleId="LightList-Accent1">
    <w:name w:val="Light List Accent 1"/>
    <w:basedOn w:val="TableNormal"/>
    <w:uiPriority w:val="61"/>
    <w:rsid w:val="00D36C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36C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ooterChar">
    <w:name w:val="Footer Char"/>
    <w:basedOn w:val="DefaultParagraphFont"/>
    <w:link w:val="Footer"/>
    <w:uiPriority w:val="99"/>
    <w:rsid w:val="00B26A5D"/>
    <w:rPr>
      <w:rFonts w:ascii="Arial" w:hAnsi="Arial"/>
      <w:szCs w:val="24"/>
      <w:lang w:val="en-AU" w:eastAsia="en-US" w:bidi="en-US"/>
    </w:rPr>
  </w:style>
  <w:style w:type="table" w:customStyle="1" w:styleId="TableGrid1">
    <w:name w:val="Table Grid1"/>
    <w:basedOn w:val="TableNormal"/>
    <w:next w:val="TableGrid"/>
    <w:uiPriority w:val="59"/>
    <w:rsid w:val="00AE77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77946"/>
  </w:style>
  <w:style w:type="table" w:customStyle="1" w:styleId="TableGrid2">
    <w:name w:val="Table Grid2"/>
    <w:basedOn w:val="TableNormal"/>
    <w:next w:val="TableGrid"/>
    <w:uiPriority w:val="59"/>
    <w:rsid w:val="003779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37794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
    <w:uiPriority w:val="61"/>
    <w:rsid w:val="0037794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next w:val="MediumShading1-Accent1"/>
    <w:uiPriority w:val="63"/>
    <w:rsid w:val="003779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ference">
    <w:name w:val="reference"/>
    <w:basedOn w:val="Normal"/>
    <w:link w:val="referenceChar"/>
    <w:qFormat/>
    <w:rsid w:val="00B763ED"/>
    <w:pPr>
      <w:spacing w:before="120" w:after="120"/>
    </w:pPr>
    <w:rPr>
      <w:color w:val="000000" w:themeColor="text1"/>
      <w:szCs w:val="23"/>
    </w:rPr>
  </w:style>
  <w:style w:type="character" w:customStyle="1" w:styleId="referenceChar">
    <w:name w:val="reference Char"/>
    <w:basedOn w:val="DefaultParagraphFont"/>
    <w:link w:val="reference"/>
    <w:rsid w:val="00B763ED"/>
    <w:rPr>
      <w:rFonts w:ascii="Arial" w:hAnsi="Arial"/>
      <w:color w:val="000000" w:themeColor="text1"/>
      <w:sz w:val="22"/>
      <w:szCs w:val="23"/>
      <w:lang w:val="en-AU" w:eastAsia="en-US" w:bidi="en-US"/>
    </w:rPr>
  </w:style>
  <w:style w:type="character" w:styleId="EndnoteReference">
    <w:name w:val="endnote reference"/>
    <w:basedOn w:val="DefaultParagraphFont"/>
    <w:rsid w:val="0066505F"/>
    <w:rPr>
      <w:vertAlign w:val="superscript"/>
    </w:rPr>
  </w:style>
  <w:style w:type="character" w:customStyle="1" w:styleId="highlight2">
    <w:name w:val="highlight2"/>
    <w:basedOn w:val="DefaultParagraphFont"/>
    <w:rsid w:val="00FF2683"/>
  </w:style>
  <w:style w:type="paragraph" w:styleId="Revision">
    <w:name w:val="Revision"/>
    <w:hidden/>
    <w:uiPriority w:val="99"/>
    <w:semiHidden/>
    <w:rsid w:val="00287BB7"/>
    <w:rPr>
      <w:rFonts w:ascii="Arial" w:hAnsi="Arial"/>
      <w:sz w:val="22"/>
      <w:szCs w:val="24"/>
      <w:lang w:val="en-AU" w:eastAsia="en-US" w:bidi="en-US"/>
    </w:rPr>
  </w:style>
  <w:style w:type="character" w:styleId="IntenseEmphasis">
    <w:name w:val="Intense Emphasis"/>
    <w:basedOn w:val="DefaultParagraphFont"/>
    <w:uiPriority w:val="21"/>
    <w:rsid w:val="00A57EE4"/>
    <w:rPr>
      <w:b/>
      <w:bCs/>
      <w:i/>
      <w:iCs/>
      <w:color w:val="4F81BD" w:themeColor="accent1"/>
    </w:rPr>
  </w:style>
  <w:style w:type="table" w:customStyle="1" w:styleId="TableGrid3">
    <w:name w:val="Table Grid3"/>
    <w:basedOn w:val="TableNormal"/>
    <w:next w:val="TableGrid"/>
    <w:uiPriority w:val="59"/>
    <w:rsid w:val="00A57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0C1F9F"/>
    <w:rPr>
      <w:sz w:val="20"/>
      <w:szCs w:val="20"/>
    </w:rPr>
  </w:style>
  <w:style w:type="character" w:customStyle="1" w:styleId="EndnoteTextChar">
    <w:name w:val="Endnote Text Char"/>
    <w:basedOn w:val="DefaultParagraphFont"/>
    <w:link w:val="EndnoteText"/>
    <w:rsid w:val="000C1F9F"/>
    <w:rPr>
      <w:rFonts w:ascii="Arial" w:hAnsi="Arial"/>
      <w:lang w:val="en-A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69455">
      <w:bodyDiv w:val="1"/>
      <w:marLeft w:val="0"/>
      <w:marRight w:val="0"/>
      <w:marTop w:val="0"/>
      <w:marBottom w:val="0"/>
      <w:divBdr>
        <w:top w:val="none" w:sz="0" w:space="0" w:color="auto"/>
        <w:left w:val="none" w:sz="0" w:space="0" w:color="auto"/>
        <w:bottom w:val="none" w:sz="0" w:space="0" w:color="auto"/>
        <w:right w:val="none" w:sz="0" w:space="0" w:color="auto"/>
      </w:divBdr>
    </w:div>
    <w:div w:id="1369138892">
      <w:bodyDiv w:val="1"/>
      <w:marLeft w:val="0"/>
      <w:marRight w:val="0"/>
      <w:marTop w:val="0"/>
      <w:marBottom w:val="0"/>
      <w:divBdr>
        <w:top w:val="none" w:sz="0" w:space="0" w:color="auto"/>
        <w:left w:val="none" w:sz="0" w:space="0" w:color="auto"/>
        <w:bottom w:val="none" w:sz="0" w:space="0" w:color="auto"/>
        <w:right w:val="none" w:sz="0" w:space="0" w:color="auto"/>
      </w:divBdr>
      <w:divsChild>
        <w:div w:id="2070348822">
          <w:marLeft w:val="0"/>
          <w:marRight w:val="0"/>
          <w:marTop w:val="0"/>
          <w:marBottom w:val="0"/>
          <w:divBdr>
            <w:top w:val="none" w:sz="0" w:space="0" w:color="auto"/>
            <w:left w:val="none" w:sz="0" w:space="0" w:color="auto"/>
            <w:bottom w:val="none" w:sz="0" w:space="0" w:color="auto"/>
            <w:right w:val="none" w:sz="0" w:space="0" w:color="auto"/>
          </w:divBdr>
          <w:divsChild>
            <w:div w:id="1904293515">
              <w:marLeft w:val="0"/>
              <w:marRight w:val="0"/>
              <w:marTop w:val="0"/>
              <w:marBottom w:val="0"/>
              <w:divBdr>
                <w:top w:val="none" w:sz="0" w:space="0" w:color="auto"/>
                <w:left w:val="none" w:sz="0" w:space="0" w:color="auto"/>
                <w:bottom w:val="none" w:sz="0" w:space="0" w:color="auto"/>
                <w:right w:val="none" w:sz="0" w:space="0" w:color="auto"/>
              </w:divBdr>
              <w:divsChild>
                <w:div w:id="1935550306">
                  <w:marLeft w:val="0"/>
                  <w:marRight w:val="0"/>
                  <w:marTop w:val="181"/>
                  <w:marBottom w:val="181"/>
                  <w:divBdr>
                    <w:top w:val="none" w:sz="0" w:space="0" w:color="auto"/>
                    <w:left w:val="none" w:sz="0" w:space="0" w:color="auto"/>
                    <w:bottom w:val="none" w:sz="0" w:space="0" w:color="auto"/>
                    <w:right w:val="none" w:sz="0" w:space="0" w:color="auto"/>
                  </w:divBdr>
                  <w:divsChild>
                    <w:div w:id="1300723710">
                      <w:marLeft w:val="0"/>
                      <w:marRight w:val="0"/>
                      <w:marTop w:val="0"/>
                      <w:marBottom w:val="0"/>
                      <w:divBdr>
                        <w:top w:val="none" w:sz="0" w:space="0" w:color="auto"/>
                        <w:left w:val="none" w:sz="0" w:space="0" w:color="auto"/>
                        <w:bottom w:val="none" w:sz="0" w:space="0" w:color="auto"/>
                        <w:right w:val="none" w:sz="0" w:space="0" w:color="auto"/>
                      </w:divBdr>
                      <w:divsChild>
                        <w:div w:id="665590941">
                          <w:marLeft w:val="0"/>
                          <w:marRight w:val="0"/>
                          <w:marTop w:val="0"/>
                          <w:marBottom w:val="0"/>
                          <w:divBdr>
                            <w:top w:val="none" w:sz="0" w:space="0" w:color="auto"/>
                            <w:left w:val="none" w:sz="0" w:space="0" w:color="auto"/>
                            <w:bottom w:val="none" w:sz="0" w:space="0" w:color="auto"/>
                            <w:right w:val="none" w:sz="0" w:space="0" w:color="auto"/>
                          </w:divBdr>
                        </w:div>
                        <w:div w:id="21026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69533">
      <w:bodyDiv w:val="1"/>
      <w:marLeft w:val="0"/>
      <w:marRight w:val="0"/>
      <w:marTop w:val="0"/>
      <w:marBottom w:val="0"/>
      <w:divBdr>
        <w:top w:val="none" w:sz="0" w:space="0" w:color="auto"/>
        <w:left w:val="none" w:sz="0" w:space="0" w:color="auto"/>
        <w:bottom w:val="none" w:sz="0" w:space="0" w:color="auto"/>
        <w:right w:val="none" w:sz="0" w:space="0" w:color="auto"/>
      </w:divBdr>
      <w:divsChild>
        <w:div w:id="410929820">
          <w:marLeft w:val="0"/>
          <w:marRight w:val="0"/>
          <w:marTop w:val="0"/>
          <w:marBottom w:val="0"/>
          <w:divBdr>
            <w:top w:val="none" w:sz="0" w:space="0" w:color="auto"/>
            <w:left w:val="none" w:sz="0" w:space="0" w:color="auto"/>
            <w:bottom w:val="none" w:sz="0" w:space="0" w:color="auto"/>
            <w:right w:val="none" w:sz="0" w:space="0" w:color="auto"/>
          </w:divBdr>
          <w:divsChild>
            <w:div w:id="130637147">
              <w:marLeft w:val="0"/>
              <w:marRight w:val="0"/>
              <w:marTop w:val="0"/>
              <w:marBottom w:val="0"/>
              <w:divBdr>
                <w:top w:val="none" w:sz="0" w:space="0" w:color="auto"/>
                <w:left w:val="none" w:sz="0" w:space="0" w:color="auto"/>
                <w:bottom w:val="none" w:sz="0" w:space="0" w:color="auto"/>
                <w:right w:val="none" w:sz="0" w:space="0" w:color="auto"/>
              </w:divBdr>
              <w:divsChild>
                <w:div w:id="10450899">
                  <w:marLeft w:val="0"/>
                  <w:marRight w:val="0"/>
                  <w:marTop w:val="181"/>
                  <w:marBottom w:val="181"/>
                  <w:divBdr>
                    <w:top w:val="none" w:sz="0" w:space="0" w:color="auto"/>
                    <w:left w:val="none" w:sz="0" w:space="0" w:color="auto"/>
                    <w:bottom w:val="none" w:sz="0" w:space="0" w:color="auto"/>
                    <w:right w:val="none" w:sz="0" w:space="0" w:color="auto"/>
                  </w:divBdr>
                  <w:divsChild>
                    <w:div w:id="215899669">
                      <w:marLeft w:val="0"/>
                      <w:marRight w:val="0"/>
                      <w:marTop w:val="0"/>
                      <w:marBottom w:val="0"/>
                      <w:divBdr>
                        <w:top w:val="none" w:sz="0" w:space="0" w:color="auto"/>
                        <w:left w:val="none" w:sz="0" w:space="0" w:color="auto"/>
                        <w:bottom w:val="none" w:sz="0" w:space="0" w:color="auto"/>
                        <w:right w:val="none" w:sz="0" w:space="0" w:color="auto"/>
                      </w:divBdr>
                      <w:divsChild>
                        <w:div w:id="243883410">
                          <w:marLeft w:val="0"/>
                          <w:marRight w:val="0"/>
                          <w:marTop w:val="0"/>
                          <w:marBottom w:val="0"/>
                          <w:divBdr>
                            <w:top w:val="none" w:sz="0" w:space="0" w:color="auto"/>
                            <w:left w:val="none" w:sz="0" w:space="0" w:color="auto"/>
                            <w:bottom w:val="none" w:sz="0" w:space="0" w:color="auto"/>
                            <w:right w:val="none" w:sz="0" w:space="0" w:color="auto"/>
                          </w:divBdr>
                        </w:div>
                        <w:div w:id="964963833">
                          <w:marLeft w:val="0"/>
                          <w:marRight w:val="0"/>
                          <w:marTop w:val="0"/>
                          <w:marBottom w:val="0"/>
                          <w:divBdr>
                            <w:top w:val="none" w:sz="0" w:space="0" w:color="auto"/>
                            <w:left w:val="none" w:sz="0" w:space="0" w:color="auto"/>
                            <w:bottom w:val="none" w:sz="0" w:space="0" w:color="auto"/>
                            <w:right w:val="none" w:sz="0" w:space="0" w:color="auto"/>
                          </w:divBdr>
                        </w:div>
                        <w:div w:id="1123767823">
                          <w:marLeft w:val="0"/>
                          <w:marRight w:val="0"/>
                          <w:marTop w:val="0"/>
                          <w:marBottom w:val="0"/>
                          <w:divBdr>
                            <w:top w:val="none" w:sz="0" w:space="0" w:color="auto"/>
                            <w:left w:val="none" w:sz="0" w:space="0" w:color="auto"/>
                            <w:bottom w:val="none" w:sz="0" w:space="0" w:color="auto"/>
                            <w:right w:val="none" w:sz="0" w:space="0" w:color="auto"/>
                          </w:divBdr>
                        </w:div>
                        <w:div w:id="1544247752">
                          <w:marLeft w:val="0"/>
                          <w:marRight w:val="0"/>
                          <w:marTop w:val="0"/>
                          <w:marBottom w:val="0"/>
                          <w:divBdr>
                            <w:top w:val="none" w:sz="0" w:space="0" w:color="auto"/>
                            <w:left w:val="none" w:sz="0" w:space="0" w:color="auto"/>
                            <w:bottom w:val="none" w:sz="0" w:space="0" w:color="auto"/>
                            <w:right w:val="none" w:sz="0" w:space="0" w:color="auto"/>
                          </w:divBdr>
                        </w:div>
                        <w:div w:id="17738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chart" Target="charts/chart6.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hart" Target="charts/chart5.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navigator-usa.com/content/view/print/1359869" TargetMode="External"/><Relationship Id="rId29" Type="http://schemas.openxmlformats.org/officeDocument/2006/relationships/hyperlink" Target="http://www.foodstandards.gov.au/science/exposure/Pages/dietaryexposureandin4438.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hart" Target="charts/chart4.xml"/><Relationship Id="rId32" Type="http://schemas.openxmlformats.org/officeDocument/2006/relationships/footer" Target="footer4.xml"/><Relationship Id="rId28" Type="http://schemas.openxmlformats.org/officeDocument/2006/relationships/hyperlink" Target="http://www.foodstandards.gov.au/science/exposure/Pages/dietaryexposureandin4438.aspx" TargetMode="External"/><Relationship Id="rId15" Type="http://schemas.openxmlformats.org/officeDocument/2006/relationships/header" Target="header1.xml"/><Relationship Id="rId23" Type="http://schemas.openxmlformats.org/officeDocument/2006/relationships/chart" Target="charts/chart3.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footer" Target="footer3.xml"/><Relationship Id="rId35"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chart" Target="charts/chart2.xml"/><Relationship Id="rId27" Type="http://schemas.openxmlformats.org/officeDocument/2006/relationships/hyperlink" Target="http://www.foodstandards.gov.au/science/riskanalysis/Pages/default.aspx"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exposure/documents/Principles%20_%20practices%20exposure%20assessment%202009.pdf" TargetMode="External"/><Relationship Id="rId2" Type="http://schemas.openxmlformats.org/officeDocument/2006/relationships/hyperlink" Target="http://www.foodstandards.gov.au/science/exposure/Pages/dietaryexposureandin4438.aspx" TargetMode="External"/><Relationship Id="rId1" Type="http://schemas.openxmlformats.org/officeDocument/2006/relationships/hyperlink" Target="http://www.foodstandards.gov.au/science/riskanalysis/Pages/default.aspx" TargetMode="External"/><Relationship Id="rId4" Type="http://schemas.openxmlformats.org/officeDocument/2006/relationships/hyperlink" Target="http://www.foodstandards.gov.au/science/exposure/Pages/dietaryexposureandin4438.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fsanzapps/applications/A1134/Shared%20Documents/Working%20folder/Assessment/DietaryExposureAssessment/Graphs%20for%20repo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fsanzapps/applications/A1134/Shared%20Documents/Working%20folder/Assessment/DietaryExposureAssessment/Graphs%20for%20rep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fsanzapps/applications/A1134/Shared%20Documents/Working%20folder/Assessment/DietaryExposureAssessment/Graphs%20for%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a:t>A: New Zealand Adults (2008 NZ ANS), Day 1</a:t>
            </a:r>
          </a:p>
        </c:rich>
      </c:tx>
      <c:layout>
        <c:manualLayout>
          <c:xMode val="edge"/>
          <c:yMode val="edge"/>
          <c:x val="1.8207120132965007E-4"/>
          <c:y val="5.4031587697423111E-2"/>
        </c:manualLayout>
      </c:layout>
      <c:overlay val="1"/>
    </c:title>
    <c:autoTitleDeleted val="0"/>
    <c:plotArea>
      <c:layout>
        <c:manualLayout>
          <c:layoutTarget val="inner"/>
          <c:xMode val="edge"/>
          <c:yMode val="edge"/>
          <c:x val="0.15981050664121529"/>
          <c:y val="0.2097778430481716"/>
          <c:w val="0.68031575598504734"/>
          <c:h val="0.63317466581672133"/>
        </c:manualLayout>
      </c:layout>
      <c:barChart>
        <c:barDir val="col"/>
        <c:grouping val="clustered"/>
        <c:varyColors val="0"/>
        <c:ser>
          <c:idx val="0"/>
          <c:order val="0"/>
          <c:tx>
            <c:strRef>
              <c:f>'Exposure Graphs'!$L$6</c:f>
              <c:strCache>
                <c:ptCount val="1"/>
                <c:pt idx="0">
                  <c:v>Mean</c:v>
                </c:pt>
              </c:strCache>
            </c:strRef>
          </c:tx>
          <c:spPr>
            <a:solidFill>
              <a:schemeClr val="accent3">
                <a:lumMod val="75000"/>
              </a:schemeClr>
            </a:solidFill>
          </c:spPr>
          <c:invertIfNegative val="0"/>
          <c:cat>
            <c:strRef>
              <c:f>'Exposure Graphs'!$M$5:$P$5</c:f>
              <c:strCache>
                <c:ptCount val="4"/>
                <c:pt idx="0">
                  <c:v>15-17</c:v>
                </c:pt>
                <c:pt idx="1">
                  <c:v>18-44</c:v>
                </c:pt>
                <c:pt idx="2">
                  <c:v>45+</c:v>
                </c:pt>
                <c:pt idx="3">
                  <c:v>All ages </c:v>
                </c:pt>
              </c:strCache>
            </c:strRef>
          </c:cat>
          <c:val>
            <c:numRef>
              <c:f>'Exposure Graphs'!$M$6:$P$6</c:f>
              <c:numCache>
                <c:formatCode>General</c:formatCode>
                <c:ptCount val="4"/>
                <c:pt idx="0">
                  <c:v>1.84</c:v>
                </c:pt>
                <c:pt idx="1">
                  <c:v>1.05</c:v>
                </c:pt>
                <c:pt idx="2">
                  <c:v>1.28</c:v>
                </c:pt>
                <c:pt idx="3">
                  <c:v>1.24</c:v>
                </c:pt>
              </c:numCache>
            </c:numRef>
          </c:val>
        </c:ser>
        <c:ser>
          <c:idx val="1"/>
          <c:order val="1"/>
          <c:tx>
            <c:strRef>
              <c:f>'Exposure Graphs'!$L$7</c:f>
              <c:strCache>
                <c:ptCount val="1"/>
                <c:pt idx="0">
                  <c:v>P90</c:v>
                </c:pt>
              </c:strCache>
            </c:strRef>
          </c:tx>
          <c:invertIfNegative val="0"/>
          <c:cat>
            <c:strRef>
              <c:f>'Exposure Graphs'!$M$5:$P$5</c:f>
              <c:strCache>
                <c:ptCount val="4"/>
                <c:pt idx="0">
                  <c:v>15-17</c:v>
                </c:pt>
                <c:pt idx="1">
                  <c:v>18-44</c:v>
                </c:pt>
                <c:pt idx="2">
                  <c:v>45+</c:v>
                </c:pt>
                <c:pt idx="3">
                  <c:v>All ages </c:v>
                </c:pt>
              </c:strCache>
            </c:strRef>
          </c:cat>
          <c:val>
            <c:numRef>
              <c:f>'Exposure Graphs'!$M$7:$P$7</c:f>
              <c:numCache>
                <c:formatCode>General</c:formatCode>
                <c:ptCount val="4"/>
                <c:pt idx="1">
                  <c:v>1.84</c:v>
                </c:pt>
                <c:pt idx="2">
                  <c:v>2.6</c:v>
                </c:pt>
                <c:pt idx="3">
                  <c:v>2.46</c:v>
                </c:pt>
              </c:numCache>
            </c:numRef>
          </c:val>
        </c:ser>
        <c:dLbls>
          <c:showLegendKey val="0"/>
          <c:showVal val="0"/>
          <c:showCatName val="0"/>
          <c:showSerName val="0"/>
          <c:showPercent val="0"/>
          <c:showBubbleSize val="0"/>
        </c:dLbls>
        <c:gapWidth val="229"/>
        <c:axId val="128540032"/>
        <c:axId val="128558208"/>
      </c:barChart>
      <c:catAx>
        <c:axId val="128540032"/>
        <c:scaling>
          <c:orientation val="minMax"/>
        </c:scaling>
        <c:delete val="0"/>
        <c:axPos val="b"/>
        <c:majorTickMark val="out"/>
        <c:minorTickMark val="none"/>
        <c:tickLblPos val="nextTo"/>
        <c:txPr>
          <a:bodyPr/>
          <a:lstStyle/>
          <a:p>
            <a:pPr>
              <a:defRPr sz="1200"/>
            </a:pPr>
            <a:endParaRPr lang="en-US"/>
          </a:p>
        </c:txPr>
        <c:crossAx val="128558208"/>
        <c:crosses val="autoZero"/>
        <c:auto val="1"/>
        <c:lblAlgn val="ctr"/>
        <c:lblOffset val="100"/>
        <c:noMultiLvlLbl val="0"/>
      </c:catAx>
      <c:valAx>
        <c:axId val="128558208"/>
        <c:scaling>
          <c:orientation val="minMax"/>
          <c:max val="3"/>
        </c:scaling>
        <c:delete val="0"/>
        <c:axPos val="l"/>
        <c:majorGridlines/>
        <c:title>
          <c:tx>
            <c:rich>
              <a:bodyPr rot="-5400000" vert="horz"/>
              <a:lstStyle/>
              <a:p>
                <a:pPr>
                  <a:defRPr/>
                </a:pPr>
                <a:r>
                  <a:rPr lang="en-GB" sz="1200"/>
                  <a:t>Phytosterol</a:t>
                </a:r>
                <a:r>
                  <a:rPr lang="en-GB" sz="1200" baseline="0"/>
                  <a:t> exposure g/day</a:t>
                </a:r>
                <a:endParaRPr lang="en-GB" sz="1200"/>
              </a:p>
            </c:rich>
          </c:tx>
          <c:layout>
            <c:manualLayout>
              <c:xMode val="edge"/>
              <c:yMode val="edge"/>
              <c:x val="3.2878849313191821E-2"/>
              <c:y val="0.22068876365516654"/>
            </c:manualLayout>
          </c:layout>
          <c:overlay val="0"/>
        </c:title>
        <c:numFmt formatCode="General" sourceLinked="1"/>
        <c:majorTickMark val="out"/>
        <c:minorTickMark val="none"/>
        <c:tickLblPos val="nextTo"/>
        <c:txPr>
          <a:bodyPr/>
          <a:lstStyle/>
          <a:p>
            <a:pPr>
              <a:defRPr sz="1200"/>
            </a:pPr>
            <a:endParaRPr lang="en-US"/>
          </a:p>
        </c:txPr>
        <c:crossAx val="128540032"/>
        <c:crosses val="autoZero"/>
        <c:crossBetween val="between"/>
      </c:valAx>
    </c:plotArea>
    <c:legend>
      <c:legendPos val="r"/>
      <c:legendEntry>
        <c:idx val="0"/>
        <c:txPr>
          <a:bodyPr/>
          <a:lstStyle/>
          <a:p>
            <a:pPr>
              <a:defRPr sz="1200"/>
            </a:pPr>
            <a:endParaRPr lang="en-US"/>
          </a:p>
        </c:txPr>
      </c:legendEntry>
      <c:legendEntry>
        <c:idx val="1"/>
        <c:txPr>
          <a:bodyPr/>
          <a:lstStyle/>
          <a:p>
            <a:pPr>
              <a:defRPr sz="1200"/>
            </a:pPr>
            <a:endParaRPr lang="en-US"/>
          </a:p>
        </c:txPr>
      </c:legendEntry>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GB" sz="1400"/>
              <a:t>B: Australia (2011-12</a:t>
            </a:r>
            <a:r>
              <a:rPr lang="en-GB" sz="1400" baseline="0"/>
              <a:t> NNPAS),  Day 1</a:t>
            </a:r>
            <a:endParaRPr lang="en-GB" sz="1400"/>
          </a:p>
        </c:rich>
      </c:tx>
      <c:layout>
        <c:manualLayout>
          <c:xMode val="edge"/>
          <c:yMode val="edge"/>
          <c:x val="8.4061654488647739E-4"/>
          <c:y val="6.272054738958302E-2"/>
        </c:manualLayout>
      </c:layout>
      <c:overlay val="1"/>
    </c:title>
    <c:autoTitleDeleted val="0"/>
    <c:plotArea>
      <c:layout>
        <c:manualLayout>
          <c:layoutTarget val="inner"/>
          <c:xMode val="edge"/>
          <c:yMode val="edge"/>
          <c:x val="0.14222740574239789"/>
          <c:y val="0.23396536243137064"/>
          <c:w val="0.6978987658509691"/>
          <c:h val="0.6165772924193762"/>
        </c:manualLayout>
      </c:layout>
      <c:barChart>
        <c:barDir val="col"/>
        <c:grouping val="clustered"/>
        <c:varyColors val="0"/>
        <c:ser>
          <c:idx val="0"/>
          <c:order val="0"/>
          <c:tx>
            <c:strRef>
              <c:f>'Exposure Graphs'!$B$8</c:f>
              <c:strCache>
                <c:ptCount val="1"/>
                <c:pt idx="0">
                  <c:v>Mean</c:v>
                </c:pt>
              </c:strCache>
            </c:strRef>
          </c:tx>
          <c:spPr>
            <a:solidFill>
              <a:schemeClr val="accent3">
                <a:lumMod val="75000"/>
              </a:schemeClr>
            </a:solidFill>
          </c:spPr>
          <c:invertIfNegative val="0"/>
          <c:cat>
            <c:strRef>
              <c:f>'Exposure Graphs'!$C$7:$H$7</c:f>
              <c:strCache>
                <c:ptCount val="6"/>
                <c:pt idx="0">
                  <c:v>2-4</c:v>
                </c:pt>
                <c:pt idx="1">
                  <c:v>5-12</c:v>
                </c:pt>
                <c:pt idx="2">
                  <c:v>13-17</c:v>
                </c:pt>
                <c:pt idx="3">
                  <c:v>18-44</c:v>
                </c:pt>
                <c:pt idx="4">
                  <c:v>45+</c:v>
                </c:pt>
                <c:pt idx="5">
                  <c:v>All ages </c:v>
                </c:pt>
              </c:strCache>
            </c:strRef>
          </c:cat>
          <c:val>
            <c:numRef>
              <c:f>'Exposure Graphs'!$C$8:$H$8</c:f>
              <c:numCache>
                <c:formatCode>General</c:formatCode>
                <c:ptCount val="6"/>
                <c:pt idx="0">
                  <c:v>0.5</c:v>
                </c:pt>
                <c:pt idx="1">
                  <c:v>1.1599999999999999</c:v>
                </c:pt>
                <c:pt idx="2">
                  <c:v>1.41</c:v>
                </c:pt>
                <c:pt idx="3">
                  <c:v>0.66</c:v>
                </c:pt>
                <c:pt idx="4">
                  <c:v>0.9</c:v>
                </c:pt>
                <c:pt idx="5">
                  <c:v>0.86399999999999999</c:v>
                </c:pt>
              </c:numCache>
            </c:numRef>
          </c:val>
        </c:ser>
        <c:ser>
          <c:idx val="1"/>
          <c:order val="1"/>
          <c:tx>
            <c:strRef>
              <c:f>'Exposure Graphs'!$B$9</c:f>
              <c:strCache>
                <c:ptCount val="1"/>
                <c:pt idx="0">
                  <c:v>P90</c:v>
                </c:pt>
              </c:strCache>
            </c:strRef>
          </c:tx>
          <c:invertIfNegative val="0"/>
          <c:cat>
            <c:strRef>
              <c:f>'Exposure Graphs'!$C$7:$H$7</c:f>
              <c:strCache>
                <c:ptCount val="6"/>
                <c:pt idx="0">
                  <c:v>2-4</c:v>
                </c:pt>
                <c:pt idx="1">
                  <c:v>5-12</c:v>
                </c:pt>
                <c:pt idx="2">
                  <c:v>13-17</c:v>
                </c:pt>
                <c:pt idx="3">
                  <c:v>18-44</c:v>
                </c:pt>
                <c:pt idx="4">
                  <c:v>45+</c:v>
                </c:pt>
                <c:pt idx="5">
                  <c:v>All ages </c:v>
                </c:pt>
              </c:strCache>
            </c:strRef>
          </c:cat>
          <c:val>
            <c:numRef>
              <c:f>'Exposure Graphs'!$C$9:$H$9</c:f>
              <c:numCache>
                <c:formatCode>General</c:formatCode>
                <c:ptCount val="6"/>
                <c:pt idx="0">
                  <c:v>0.77900000000000003</c:v>
                </c:pt>
                <c:pt idx="1">
                  <c:v>2.88</c:v>
                </c:pt>
                <c:pt idx="2">
                  <c:v>2.73</c:v>
                </c:pt>
                <c:pt idx="3">
                  <c:v>1.56</c:v>
                </c:pt>
                <c:pt idx="4">
                  <c:v>1.95</c:v>
                </c:pt>
                <c:pt idx="5">
                  <c:v>1.95</c:v>
                </c:pt>
              </c:numCache>
            </c:numRef>
          </c:val>
        </c:ser>
        <c:dLbls>
          <c:showLegendKey val="0"/>
          <c:showVal val="0"/>
          <c:showCatName val="0"/>
          <c:showSerName val="0"/>
          <c:showPercent val="0"/>
          <c:showBubbleSize val="0"/>
        </c:dLbls>
        <c:gapWidth val="150"/>
        <c:axId val="129721856"/>
        <c:axId val="129723392"/>
      </c:barChart>
      <c:catAx>
        <c:axId val="129721856"/>
        <c:scaling>
          <c:orientation val="minMax"/>
        </c:scaling>
        <c:delete val="0"/>
        <c:axPos val="b"/>
        <c:majorTickMark val="out"/>
        <c:minorTickMark val="none"/>
        <c:tickLblPos val="nextTo"/>
        <c:txPr>
          <a:bodyPr/>
          <a:lstStyle/>
          <a:p>
            <a:pPr>
              <a:defRPr sz="1200"/>
            </a:pPr>
            <a:endParaRPr lang="en-US"/>
          </a:p>
        </c:txPr>
        <c:crossAx val="129723392"/>
        <c:crosses val="autoZero"/>
        <c:auto val="1"/>
        <c:lblAlgn val="ctr"/>
        <c:lblOffset val="100"/>
        <c:noMultiLvlLbl val="0"/>
      </c:catAx>
      <c:valAx>
        <c:axId val="129723392"/>
        <c:scaling>
          <c:orientation val="minMax"/>
          <c:max val="3"/>
        </c:scaling>
        <c:delete val="0"/>
        <c:axPos val="l"/>
        <c:majorGridlines/>
        <c:title>
          <c:tx>
            <c:rich>
              <a:bodyPr rot="-5400000" vert="horz"/>
              <a:lstStyle/>
              <a:p>
                <a:pPr>
                  <a:defRPr/>
                </a:pPr>
                <a:r>
                  <a:rPr lang="en-GB" sz="1200"/>
                  <a:t>Phytosterol</a:t>
                </a:r>
                <a:r>
                  <a:rPr lang="en-GB" sz="1200" baseline="0"/>
                  <a:t> exposure g/day</a:t>
                </a:r>
                <a:endParaRPr lang="en-GB" sz="1200"/>
              </a:p>
            </c:rich>
          </c:tx>
          <c:layout>
            <c:manualLayout>
              <c:xMode val="edge"/>
              <c:yMode val="edge"/>
              <c:x val="5.5466907984112008E-3"/>
              <c:y val="0.23672635737107517"/>
            </c:manualLayout>
          </c:layout>
          <c:overlay val="0"/>
        </c:title>
        <c:numFmt formatCode="General" sourceLinked="1"/>
        <c:majorTickMark val="out"/>
        <c:minorTickMark val="none"/>
        <c:tickLblPos val="nextTo"/>
        <c:txPr>
          <a:bodyPr/>
          <a:lstStyle/>
          <a:p>
            <a:pPr>
              <a:defRPr sz="1200"/>
            </a:pPr>
            <a:endParaRPr lang="en-US"/>
          </a:p>
        </c:txPr>
        <c:crossAx val="129721856"/>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GB" sz="1400"/>
              <a:t>C:</a:t>
            </a:r>
            <a:r>
              <a:rPr lang="en-GB" sz="1400" baseline="0"/>
              <a:t> </a:t>
            </a:r>
            <a:r>
              <a:rPr lang="en-GB" sz="1400"/>
              <a:t>Australia (2011-12 NNPAS), </a:t>
            </a:r>
            <a:r>
              <a:rPr lang="en-GB" sz="1400" baseline="0"/>
              <a:t>Day 1 and 2 average</a:t>
            </a:r>
            <a:endParaRPr lang="en-GB" sz="1400"/>
          </a:p>
        </c:rich>
      </c:tx>
      <c:layout>
        <c:manualLayout>
          <c:xMode val="edge"/>
          <c:yMode val="edge"/>
          <c:x val="1.1398254705341307E-3"/>
          <c:y val="1.4086816975425666E-3"/>
        </c:manualLayout>
      </c:layout>
      <c:overlay val="1"/>
    </c:title>
    <c:autoTitleDeleted val="0"/>
    <c:plotArea>
      <c:layout>
        <c:manualLayout>
          <c:layoutTarget val="inner"/>
          <c:xMode val="edge"/>
          <c:yMode val="edge"/>
          <c:x val="0.16325569994626313"/>
          <c:y val="0.20166685771221488"/>
          <c:w val="0.71561855637769067"/>
          <c:h val="0.61986646131202994"/>
        </c:manualLayout>
      </c:layout>
      <c:barChart>
        <c:barDir val="col"/>
        <c:grouping val="clustered"/>
        <c:varyColors val="0"/>
        <c:ser>
          <c:idx val="0"/>
          <c:order val="0"/>
          <c:tx>
            <c:strRef>
              <c:f>'Exposure Graphs'!$V$6</c:f>
              <c:strCache>
                <c:ptCount val="1"/>
                <c:pt idx="0">
                  <c:v>Mean</c:v>
                </c:pt>
              </c:strCache>
            </c:strRef>
          </c:tx>
          <c:spPr>
            <a:solidFill>
              <a:schemeClr val="accent3">
                <a:lumMod val="75000"/>
              </a:schemeClr>
            </a:solidFill>
          </c:spPr>
          <c:invertIfNegative val="0"/>
          <c:cat>
            <c:strRef>
              <c:f>'Exposure Graphs'!$W$5:$AB$5</c:f>
              <c:strCache>
                <c:ptCount val="6"/>
                <c:pt idx="0">
                  <c:v>2-4</c:v>
                </c:pt>
                <c:pt idx="1">
                  <c:v>5-12</c:v>
                </c:pt>
                <c:pt idx="2">
                  <c:v>13-17</c:v>
                </c:pt>
                <c:pt idx="3">
                  <c:v>18-44</c:v>
                </c:pt>
                <c:pt idx="4">
                  <c:v>45+</c:v>
                </c:pt>
                <c:pt idx="5">
                  <c:v>All ages </c:v>
                </c:pt>
              </c:strCache>
            </c:strRef>
          </c:cat>
          <c:val>
            <c:numRef>
              <c:f>'Exposure Graphs'!$W$6:$AB$6</c:f>
              <c:numCache>
                <c:formatCode>General</c:formatCode>
                <c:ptCount val="6"/>
                <c:pt idx="0">
                  <c:v>0.246</c:v>
                </c:pt>
                <c:pt idx="1">
                  <c:v>0.35199999999999998</c:v>
                </c:pt>
                <c:pt idx="2">
                  <c:v>0.98399999999999999</c:v>
                </c:pt>
                <c:pt idx="3">
                  <c:v>0.37</c:v>
                </c:pt>
                <c:pt idx="4">
                  <c:v>0.62</c:v>
                </c:pt>
                <c:pt idx="5">
                  <c:v>0.56399999999999995</c:v>
                </c:pt>
              </c:numCache>
            </c:numRef>
          </c:val>
        </c:ser>
        <c:ser>
          <c:idx val="1"/>
          <c:order val="1"/>
          <c:tx>
            <c:strRef>
              <c:f>'Exposure Graphs'!$V$7</c:f>
              <c:strCache>
                <c:ptCount val="1"/>
                <c:pt idx="0">
                  <c:v>P90</c:v>
                </c:pt>
              </c:strCache>
            </c:strRef>
          </c:tx>
          <c:invertIfNegative val="0"/>
          <c:cat>
            <c:strRef>
              <c:f>'Exposure Graphs'!$W$5:$AB$5</c:f>
              <c:strCache>
                <c:ptCount val="6"/>
                <c:pt idx="0">
                  <c:v>2-4</c:v>
                </c:pt>
                <c:pt idx="1">
                  <c:v>5-12</c:v>
                </c:pt>
                <c:pt idx="2">
                  <c:v>13-17</c:v>
                </c:pt>
                <c:pt idx="3">
                  <c:v>18-44</c:v>
                </c:pt>
                <c:pt idx="4">
                  <c:v>45+</c:v>
                </c:pt>
                <c:pt idx="5">
                  <c:v>All ages </c:v>
                </c:pt>
              </c:strCache>
            </c:strRef>
          </c:cat>
          <c:val>
            <c:numRef>
              <c:f>'Exposure Graphs'!$W$7:$AB$7</c:f>
              <c:numCache>
                <c:formatCode>General</c:formatCode>
                <c:ptCount val="6"/>
                <c:pt idx="0">
                  <c:v>0.48699999999999999</c:v>
                </c:pt>
                <c:pt idx="1">
                  <c:v>0.77900000000000003</c:v>
                </c:pt>
                <c:pt idx="2">
                  <c:v>1.95</c:v>
                </c:pt>
                <c:pt idx="3">
                  <c:v>0.78</c:v>
                </c:pt>
                <c:pt idx="4">
                  <c:v>1.17</c:v>
                </c:pt>
                <c:pt idx="5">
                  <c:v>1.17</c:v>
                </c:pt>
              </c:numCache>
            </c:numRef>
          </c:val>
        </c:ser>
        <c:dLbls>
          <c:showLegendKey val="0"/>
          <c:showVal val="0"/>
          <c:showCatName val="0"/>
          <c:showSerName val="0"/>
          <c:showPercent val="0"/>
          <c:showBubbleSize val="0"/>
        </c:dLbls>
        <c:gapWidth val="125"/>
        <c:axId val="131960832"/>
        <c:axId val="131962752"/>
      </c:barChart>
      <c:catAx>
        <c:axId val="131960832"/>
        <c:scaling>
          <c:orientation val="minMax"/>
        </c:scaling>
        <c:delete val="0"/>
        <c:axPos val="b"/>
        <c:title>
          <c:tx>
            <c:rich>
              <a:bodyPr/>
              <a:lstStyle/>
              <a:p>
                <a:pPr>
                  <a:defRPr/>
                </a:pPr>
                <a:r>
                  <a:rPr lang="en-GB" sz="1200"/>
                  <a:t>Age</a:t>
                </a:r>
                <a:r>
                  <a:rPr lang="en-GB" sz="1200" baseline="0"/>
                  <a:t> group (years) </a:t>
                </a:r>
                <a:endParaRPr lang="en-GB" sz="1200"/>
              </a:p>
            </c:rich>
          </c:tx>
          <c:layout>
            <c:manualLayout>
              <c:xMode val="edge"/>
              <c:yMode val="edge"/>
              <c:x val="0.39369382435355255"/>
              <c:y val="0.91499801480822174"/>
            </c:manualLayout>
          </c:layout>
          <c:overlay val="0"/>
        </c:title>
        <c:majorTickMark val="out"/>
        <c:minorTickMark val="none"/>
        <c:tickLblPos val="nextTo"/>
        <c:txPr>
          <a:bodyPr/>
          <a:lstStyle/>
          <a:p>
            <a:pPr>
              <a:defRPr sz="1200"/>
            </a:pPr>
            <a:endParaRPr lang="en-US"/>
          </a:p>
        </c:txPr>
        <c:crossAx val="131962752"/>
        <c:crosses val="autoZero"/>
        <c:auto val="1"/>
        <c:lblAlgn val="ctr"/>
        <c:lblOffset val="100"/>
        <c:noMultiLvlLbl val="0"/>
      </c:catAx>
      <c:valAx>
        <c:axId val="131962752"/>
        <c:scaling>
          <c:orientation val="minMax"/>
          <c:max val="3"/>
        </c:scaling>
        <c:delete val="0"/>
        <c:axPos val="l"/>
        <c:majorGridlines/>
        <c:title>
          <c:tx>
            <c:rich>
              <a:bodyPr rot="-5400000" vert="horz"/>
              <a:lstStyle/>
              <a:p>
                <a:pPr>
                  <a:defRPr/>
                </a:pPr>
                <a:r>
                  <a:rPr lang="en-GB" sz="1200"/>
                  <a:t>Phytpsterol exposure g/day</a:t>
                </a:r>
              </a:p>
            </c:rich>
          </c:tx>
          <c:layout>
            <c:manualLayout>
              <c:xMode val="edge"/>
              <c:yMode val="edge"/>
              <c:x val="3.1717321632433543E-2"/>
              <c:y val="0.24304591265397538"/>
            </c:manualLayout>
          </c:layout>
          <c:overlay val="0"/>
        </c:title>
        <c:numFmt formatCode="General" sourceLinked="1"/>
        <c:majorTickMark val="out"/>
        <c:minorTickMark val="none"/>
        <c:tickLblPos val="nextTo"/>
        <c:txPr>
          <a:bodyPr/>
          <a:lstStyle/>
          <a:p>
            <a:pPr>
              <a:defRPr sz="1200"/>
            </a:pPr>
            <a:endParaRPr lang="en-US"/>
          </a:p>
        </c:txPr>
        <c:crossAx val="131960832"/>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400">
                <a:effectLst/>
              </a:rPr>
              <a:t>A: Australia</a:t>
            </a:r>
            <a:r>
              <a:rPr lang="en-GB" sz="1400" baseline="0">
                <a:effectLst/>
              </a:rPr>
              <a:t> (2011-12 NNPAS) - Day 1 and 2 average</a:t>
            </a:r>
            <a:endParaRPr lang="en-GB" sz="1400">
              <a:effectLst/>
            </a:endParaRPr>
          </a:p>
        </c:rich>
      </c:tx>
      <c:layout>
        <c:manualLayout>
          <c:xMode val="edge"/>
          <c:yMode val="edge"/>
          <c:x val="2.2433445412663646E-3"/>
          <c:y val="7.2559342258132434E-3"/>
        </c:manualLayout>
      </c:layout>
      <c:overlay val="1"/>
    </c:title>
    <c:autoTitleDeleted val="0"/>
    <c:plotArea>
      <c:layout>
        <c:manualLayout>
          <c:layoutTarget val="inner"/>
          <c:xMode val="edge"/>
          <c:yMode val="edge"/>
          <c:x val="0.16175249558759386"/>
          <c:y val="0.17171874443296395"/>
          <c:w val="0.48886989728158237"/>
          <c:h val="0.61264491867642656"/>
        </c:manualLayout>
      </c:layout>
      <c:barChart>
        <c:barDir val="col"/>
        <c:grouping val="percentStacked"/>
        <c:varyColors val="0"/>
        <c:ser>
          <c:idx val="0"/>
          <c:order val="0"/>
          <c:tx>
            <c:strRef>
              <c:f>'AHS%Contrib '!$B$8</c:f>
              <c:strCache>
                <c:ptCount val="1"/>
                <c:pt idx="0">
                  <c:v>Edible oil spread, standard fat</c:v>
                </c:pt>
              </c:strCache>
            </c:strRef>
          </c:tx>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'!$C$8:$H$8</c:f>
              <c:numCache>
                <c:formatCode>0.00</c:formatCode>
                <c:ptCount val="6"/>
                <c:pt idx="0">
                  <c:v>0</c:v>
                </c:pt>
                <c:pt idx="1">
                  <c:v>0</c:v>
                </c:pt>
                <c:pt idx="2">
                  <c:v>0</c:v>
                </c:pt>
                <c:pt idx="3">
                  <c:v>0</c:v>
                </c:pt>
                <c:pt idx="4">
                  <c:v>0</c:v>
                </c:pt>
                <c:pt idx="5">
                  <c:v>0</c:v>
                </c:pt>
              </c:numCache>
            </c:numRef>
          </c:val>
        </c:ser>
        <c:ser>
          <c:idx val="1"/>
          <c:order val="1"/>
          <c:tx>
            <c:strRef>
              <c:f>'AHS%Contrib '!$B$9</c:f>
              <c:strCache>
                <c:ptCount val="1"/>
                <c:pt idx="0">
                  <c:v>Edible oil spread, standard fat, reduced salt</c:v>
                </c:pt>
              </c:strCache>
            </c:strRef>
          </c:tx>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'!$C$9:$H$9</c:f>
              <c:numCache>
                <c:formatCode>General</c:formatCode>
                <c:ptCount val="6"/>
                <c:pt idx="0">
                  <c:v>60.59</c:v>
                </c:pt>
                <c:pt idx="1">
                  <c:v>42.23</c:v>
                </c:pt>
                <c:pt idx="2" formatCode="0.00">
                  <c:v>19</c:v>
                </c:pt>
                <c:pt idx="3">
                  <c:v>55</c:v>
                </c:pt>
                <c:pt idx="4">
                  <c:v>61</c:v>
                </c:pt>
                <c:pt idx="5">
                  <c:v>57</c:v>
                </c:pt>
              </c:numCache>
            </c:numRef>
          </c:val>
        </c:ser>
        <c:ser>
          <c:idx val="2"/>
          <c:order val="2"/>
          <c:tx>
            <c:strRef>
              <c:f>'AHS%Contrib '!$B$10</c:f>
              <c:strCache>
                <c:ptCount val="1"/>
                <c:pt idx="0">
                  <c:v>Edible oil spread, reduced fat</c:v>
                </c:pt>
              </c:strCache>
            </c:strRef>
          </c:tx>
          <c:spPr>
            <a:solidFill>
              <a:schemeClr val="bg2">
                <a:lumMod val="75000"/>
              </a:schemeClr>
            </a:solidFill>
          </c:spPr>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'!$C$10:$H$10</c:f>
              <c:numCache>
                <c:formatCode>General</c:formatCode>
                <c:ptCount val="6"/>
                <c:pt idx="0">
                  <c:v>0</c:v>
                </c:pt>
                <c:pt idx="1">
                  <c:v>0</c:v>
                </c:pt>
                <c:pt idx="2" formatCode="0.00">
                  <c:v>0</c:v>
                </c:pt>
                <c:pt idx="3">
                  <c:v>0</c:v>
                </c:pt>
                <c:pt idx="4">
                  <c:v>0</c:v>
                </c:pt>
                <c:pt idx="5">
                  <c:v>0</c:v>
                </c:pt>
              </c:numCache>
            </c:numRef>
          </c:val>
        </c:ser>
        <c:ser>
          <c:idx val="3"/>
          <c:order val="3"/>
          <c:tx>
            <c:strRef>
              <c:f>'AHS%Contrib '!$B$11</c:f>
              <c:strCache>
                <c:ptCount val="1"/>
                <c:pt idx="0">
                  <c:v>Edible oil spread, reduced fat, reduced salt</c:v>
                </c:pt>
              </c:strCache>
            </c:strRef>
          </c:tx>
          <c:spPr>
            <a:solidFill>
              <a:schemeClr val="accent3">
                <a:lumMod val="75000"/>
              </a:schemeClr>
            </a:solidFill>
          </c:spPr>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'!$C$11:$H$11</c:f>
              <c:numCache>
                <c:formatCode>General</c:formatCode>
                <c:ptCount val="6"/>
                <c:pt idx="0">
                  <c:v>39.409999999999997</c:v>
                </c:pt>
                <c:pt idx="1">
                  <c:v>57.77</c:v>
                </c:pt>
                <c:pt idx="2" formatCode="0.00">
                  <c:v>81</c:v>
                </c:pt>
                <c:pt idx="3">
                  <c:v>41</c:v>
                </c:pt>
                <c:pt idx="4">
                  <c:v>36</c:v>
                </c:pt>
                <c:pt idx="5">
                  <c:v>40</c:v>
                </c:pt>
              </c:numCache>
            </c:numRef>
          </c:val>
        </c:ser>
        <c:ser>
          <c:idx val="4"/>
          <c:order val="4"/>
          <c:tx>
            <c:strRef>
              <c:f>'AHS%Contrib '!$B$12</c:f>
              <c:strCache>
                <c:ptCount val="1"/>
                <c:pt idx="0">
                  <c:v>Unflavoured milk</c:v>
                </c:pt>
              </c:strCache>
            </c:strRef>
          </c:tx>
          <c:spPr>
            <a:solidFill>
              <a:schemeClr val="accent4">
                <a:lumMod val="75000"/>
              </a:schemeClr>
            </a:solidFill>
          </c:spPr>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'!$C$12:$H$12</c:f>
              <c:numCache>
                <c:formatCode>General</c:formatCode>
                <c:ptCount val="6"/>
                <c:pt idx="0">
                  <c:v>0</c:v>
                </c:pt>
                <c:pt idx="1">
                  <c:v>0</c:v>
                </c:pt>
                <c:pt idx="2" formatCode="0.00">
                  <c:v>0</c:v>
                </c:pt>
                <c:pt idx="3">
                  <c:v>0</c:v>
                </c:pt>
                <c:pt idx="4">
                  <c:v>2</c:v>
                </c:pt>
                <c:pt idx="5">
                  <c:v>2</c:v>
                </c:pt>
              </c:numCache>
            </c:numRef>
          </c:val>
        </c:ser>
        <c:ser>
          <c:idx val="5"/>
          <c:order val="5"/>
          <c:tx>
            <c:strRef>
              <c:f>'AHS%Contrib '!$B$13</c:f>
              <c:strCache>
                <c:ptCount val="1"/>
                <c:pt idx="0">
                  <c:v>Processed cheese</c:v>
                </c:pt>
              </c:strCache>
            </c:strRef>
          </c:tx>
          <c:invertIfNegative val="0"/>
          <c:cat>
            <c:strRef>
              <c:f>'AHS%Contrib '!$C$7:$H$7</c:f>
              <c:strCache>
                <c:ptCount val="6"/>
                <c:pt idx="0">
                  <c:v>2-4
(0.25)</c:v>
                </c:pt>
                <c:pt idx="1">
                  <c:v>5-12
(0.35)</c:v>
                </c:pt>
                <c:pt idx="2">
                  <c:v>13-17
(0.98)</c:v>
                </c:pt>
                <c:pt idx="3">
                  <c:v>18-44
(0.37)</c:v>
                </c:pt>
                <c:pt idx="4">
                  <c:v>45+
(0.62)</c:v>
                </c:pt>
                <c:pt idx="5">
                  <c:v>All ages
(0.57 )</c:v>
                </c:pt>
              </c:strCache>
            </c:strRef>
          </c:cat>
          <c:val>
            <c:numRef>
              <c:f>'AHS%Contrib '!$C$13:$H$13</c:f>
              <c:numCache>
                <c:formatCode>General</c:formatCode>
                <c:ptCount val="6"/>
                <c:pt idx="0">
                  <c:v>0</c:v>
                </c:pt>
                <c:pt idx="1">
                  <c:v>0</c:v>
                </c:pt>
                <c:pt idx="2" formatCode="0.00">
                  <c:v>0</c:v>
                </c:pt>
                <c:pt idx="3">
                  <c:v>0</c:v>
                </c:pt>
                <c:pt idx="4">
                  <c:v>1</c:v>
                </c:pt>
                <c:pt idx="5">
                  <c:v>1</c:v>
                </c:pt>
              </c:numCache>
            </c:numRef>
          </c:val>
        </c:ser>
        <c:dLbls>
          <c:showLegendKey val="0"/>
          <c:showVal val="0"/>
          <c:showCatName val="0"/>
          <c:showSerName val="0"/>
          <c:showPercent val="0"/>
          <c:showBubbleSize val="0"/>
        </c:dLbls>
        <c:gapWidth val="150"/>
        <c:overlap val="100"/>
        <c:axId val="132335488"/>
        <c:axId val="132337024"/>
      </c:barChart>
      <c:catAx>
        <c:axId val="132335488"/>
        <c:scaling>
          <c:orientation val="minMax"/>
        </c:scaling>
        <c:delete val="0"/>
        <c:axPos val="b"/>
        <c:majorTickMark val="out"/>
        <c:minorTickMark val="none"/>
        <c:tickLblPos val="nextTo"/>
        <c:crossAx val="132337024"/>
        <c:crosses val="autoZero"/>
        <c:auto val="1"/>
        <c:lblAlgn val="ctr"/>
        <c:lblOffset val="100"/>
        <c:noMultiLvlLbl val="0"/>
      </c:catAx>
      <c:valAx>
        <c:axId val="132337024"/>
        <c:scaling>
          <c:orientation val="minMax"/>
        </c:scaling>
        <c:delete val="0"/>
        <c:axPos val="l"/>
        <c:majorGridlines/>
        <c:title>
          <c:tx>
            <c:rich>
              <a:bodyPr rot="-5400000" vert="horz"/>
              <a:lstStyle/>
              <a:p>
                <a:pPr>
                  <a:defRPr/>
                </a:pPr>
                <a:r>
                  <a:rPr lang="en-GB" sz="1100"/>
                  <a:t>Percent</a:t>
                </a:r>
                <a:r>
                  <a:rPr lang="en-GB" sz="1100" baseline="0"/>
                  <a:t> contribution to </a:t>
                </a:r>
              </a:p>
              <a:p>
                <a:pPr>
                  <a:defRPr/>
                </a:pPr>
                <a:r>
                  <a:rPr lang="en-GB" sz="1100" baseline="0"/>
                  <a:t>phytosterol exposure </a:t>
                </a:r>
                <a:endParaRPr lang="en-GB" sz="1100"/>
              </a:p>
            </c:rich>
          </c:tx>
          <c:layout>
            <c:manualLayout>
              <c:xMode val="edge"/>
              <c:yMode val="edge"/>
              <c:x val="3.9434872306363207E-3"/>
              <c:y val="0.19787361133845419"/>
            </c:manualLayout>
          </c:layout>
          <c:overlay val="0"/>
        </c:title>
        <c:numFmt formatCode="0%" sourceLinked="1"/>
        <c:majorTickMark val="out"/>
        <c:minorTickMark val="none"/>
        <c:tickLblPos val="nextTo"/>
        <c:crossAx val="132335488"/>
        <c:crosses val="autoZero"/>
        <c:crossBetween val="between"/>
      </c:valAx>
    </c:plotArea>
    <c:legend>
      <c:legendPos val="r"/>
      <c:layout>
        <c:manualLayout>
          <c:xMode val="edge"/>
          <c:yMode val="edge"/>
          <c:x val="0.69534617541488508"/>
          <c:y val="0.15085865963587131"/>
          <c:w val="0.28327190119431839"/>
          <c:h val="0.65664376476718311"/>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GB" sz="1400" b="1" i="0" baseline="0">
                <a:effectLst/>
              </a:rPr>
              <a:t>B: New Zealand Adults (2008 NZ ANS) - Day1 </a:t>
            </a:r>
            <a:endParaRPr lang="en-GB" sz="1400">
              <a:effectLst/>
            </a:endParaRPr>
          </a:p>
        </c:rich>
      </c:tx>
      <c:layout>
        <c:manualLayout>
          <c:xMode val="edge"/>
          <c:yMode val="edge"/>
          <c:x val="9.1264442114532343E-3"/>
          <c:y val="1.3536379018612521E-2"/>
        </c:manualLayout>
      </c:layout>
      <c:overlay val="1"/>
    </c:title>
    <c:autoTitleDeleted val="0"/>
    <c:plotArea>
      <c:layout>
        <c:manualLayout>
          <c:layoutTarget val="inner"/>
          <c:xMode val="edge"/>
          <c:yMode val="edge"/>
          <c:x val="0.15772095733152663"/>
          <c:y val="0.14423597993647019"/>
          <c:w val="0.48424953110364849"/>
          <c:h val="0.61367176225274001"/>
        </c:manualLayout>
      </c:layout>
      <c:barChart>
        <c:barDir val="col"/>
        <c:grouping val="percentStacked"/>
        <c:varyColors val="0"/>
        <c:ser>
          <c:idx val="0"/>
          <c:order val="0"/>
          <c:tx>
            <c:strRef>
              <c:f>'NZ%Contrib'!$B$9</c:f>
              <c:strCache>
                <c:ptCount val="1"/>
                <c:pt idx="0">
                  <c:v>Edible oil spread, standard fat, reduced salt</c:v>
                </c:pt>
              </c:strCache>
            </c:strRef>
          </c:tx>
          <c:spPr>
            <a:solidFill>
              <a:srgbClr val="C00000"/>
            </a:solidFill>
          </c:spPr>
          <c:invertIfNegative val="0"/>
          <c:cat>
            <c:strRef>
              <c:f>'NZ%Contrib'!$C$7:$F$7</c:f>
              <c:strCache>
                <c:ptCount val="4"/>
                <c:pt idx="0">
                  <c:v>15-17
(1.84)</c:v>
                </c:pt>
                <c:pt idx="1">
                  <c:v>18-44
(1.05)</c:v>
                </c:pt>
                <c:pt idx="2">
                  <c:v>45+
(1.28)</c:v>
                </c:pt>
                <c:pt idx="3">
                  <c:v>All ages
(1.24)</c:v>
                </c:pt>
              </c:strCache>
            </c:strRef>
          </c:cat>
          <c:val>
            <c:numRef>
              <c:f>'NZ%Contrib'!$C$9:$F$9</c:f>
              <c:numCache>
                <c:formatCode>0.00</c:formatCode>
                <c:ptCount val="4"/>
                <c:pt idx="0">
                  <c:v>0</c:v>
                </c:pt>
                <c:pt idx="1">
                  <c:v>0</c:v>
                </c:pt>
                <c:pt idx="2">
                  <c:v>0</c:v>
                </c:pt>
                <c:pt idx="3">
                  <c:v>0</c:v>
                </c:pt>
              </c:numCache>
            </c:numRef>
          </c:val>
        </c:ser>
        <c:ser>
          <c:idx val="1"/>
          <c:order val="1"/>
          <c:tx>
            <c:strRef>
              <c:f>'NZ%Contrib'!$B$8</c:f>
              <c:strCache>
                <c:ptCount val="1"/>
                <c:pt idx="0">
                  <c:v>Edible oil spread, standard fat</c:v>
                </c:pt>
              </c:strCache>
            </c:strRef>
          </c:tx>
          <c:spPr>
            <a:solidFill>
              <a:schemeClr val="accent1">
                <a:lumMod val="75000"/>
              </a:schemeClr>
            </a:solidFill>
          </c:spPr>
          <c:invertIfNegative val="0"/>
          <c:cat>
            <c:strRef>
              <c:f>'NZ%Contrib'!$C$7:$F$7</c:f>
              <c:strCache>
                <c:ptCount val="4"/>
                <c:pt idx="0">
                  <c:v>15-17
(1.84)</c:v>
                </c:pt>
                <c:pt idx="1">
                  <c:v>18-44
(1.05)</c:v>
                </c:pt>
                <c:pt idx="2">
                  <c:v>45+
(1.28)</c:v>
                </c:pt>
                <c:pt idx="3">
                  <c:v>All ages
(1.24)</c:v>
                </c:pt>
              </c:strCache>
            </c:strRef>
          </c:cat>
          <c:val>
            <c:numRef>
              <c:f>'NZ%Contrib'!$C$8:$F$8</c:f>
              <c:numCache>
                <c:formatCode>General</c:formatCode>
                <c:ptCount val="4"/>
                <c:pt idx="0">
                  <c:v>8.5299999999999994</c:v>
                </c:pt>
                <c:pt idx="1">
                  <c:v>24</c:v>
                </c:pt>
                <c:pt idx="2" formatCode="0.00">
                  <c:v>33</c:v>
                </c:pt>
                <c:pt idx="3">
                  <c:v>30.62</c:v>
                </c:pt>
              </c:numCache>
            </c:numRef>
          </c:val>
        </c:ser>
        <c:ser>
          <c:idx val="2"/>
          <c:order val="2"/>
          <c:tx>
            <c:strRef>
              <c:f>'NZ%Contrib'!$B$10</c:f>
              <c:strCache>
                <c:ptCount val="1"/>
                <c:pt idx="0">
                  <c:v>Edible oil spread, reduced fat</c:v>
                </c:pt>
              </c:strCache>
            </c:strRef>
          </c:tx>
          <c:spPr>
            <a:solidFill>
              <a:schemeClr val="bg2">
                <a:lumMod val="75000"/>
              </a:schemeClr>
            </a:solidFill>
          </c:spPr>
          <c:invertIfNegative val="0"/>
          <c:cat>
            <c:strRef>
              <c:f>'NZ%Contrib'!$C$7:$F$7</c:f>
              <c:strCache>
                <c:ptCount val="4"/>
                <c:pt idx="0">
                  <c:v>15-17
(1.84)</c:v>
                </c:pt>
                <c:pt idx="1">
                  <c:v>18-44
(1.05)</c:v>
                </c:pt>
                <c:pt idx="2">
                  <c:v>45+
(1.28)</c:v>
                </c:pt>
                <c:pt idx="3">
                  <c:v>All ages
(1.24)</c:v>
                </c:pt>
              </c:strCache>
            </c:strRef>
          </c:cat>
          <c:val>
            <c:numRef>
              <c:f>'NZ%Contrib'!$C$10:$F$10</c:f>
              <c:numCache>
                <c:formatCode>General</c:formatCode>
                <c:ptCount val="4"/>
                <c:pt idx="0">
                  <c:v>91.47</c:v>
                </c:pt>
                <c:pt idx="1">
                  <c:v>65</c:v>
                </c:pt>
                <c:pt idx="2" formatCode="0.00">
                  <c:v>57</c:v>
                </c:pt>
                <c:pt idx="3">
                  <c:v>59.22</c:v>
                </c:pt>
              </c:numCache>
            </c:numRef>
          </c:val>
        </c:ser>
        <c:ser>
          <c:idx val="3"/>
          <c:order val="3"/>
          <c:tx>
            <c:strRef>
              <c:f>'NZ%Contrib'!$B$11</c:f>
              <c:strCache>
                <c:ptCount val="1"/>
                <c:pt idx="0">
                  <c:v>Edible oil spread, reduced fat, reduced salt</c:v>
                </c:pt>
              </c:strCache>
            </c:strRef>
          </c:tx>
          <c:spPr>
            <a:solidFill>
              <a:schemeClr val="accent3">
                <a:lumMod val="75000"/>
              </a:schemeClr>
            </a:solidFill>
          </c:spPr>
          <c:invertIfNegative val="0"/>
          <c:cat>
            <c:strRef>
              <c:f>'NZ%Contrib'!$C$7:$F$7</c:f>
              <c:strCache>
                <c:ptCount val="4"/>
                <c:pt idx="0">
                  <c:v>15-17
(1.84)</c:v>
                </c:pt>
                <c:pt idx="1">
                  <c:v>18-44
(1.05)</c:v>
                </c:pt>
                <c:pt idx="2">
                  <c:v>45+
(1.28)</c:v>
                </c:pt>
                <c:pt idx="3">
                  <c:v>All ages
(1.24)</c:v>
                </c:pt>
              </c:strCache>
            </c:strRef>
          </c:cat>
          <c:val>
            <c:numRef>
              <c:f>'NZ%Contrib'!$C$11:$F$11</c:f>
              <c:numCache>
                <c:formatCode>General</c:formatCode>
                <c:ptCount val="4"/>
                <c:pt idx="0">
                  <c:v>0</c:v>
                </c:pt>
                <c:pt idx="1">
                  <c:v>11</c:v>
                </c:pt>
                <c:pt idx="2" formatCode="0.00">
                  <c:v>10</c:v>
                </c:pt>
                <c:pt idx="3">
                  <c:v>10.16</c:v>
                </c:pt>
              </c:numCache>
            </c:numRef>
          </c:val>
        </c:ser>
        <c:ser>
          <c:idx val="4"/>
          <c:order val="4"/>
          <c:tx>
            <c:strRef>
              <c:f>'NZ%Contrib'!$B$12</c:f>
              <c:strCache>
                <c:ptCount val="1"/>
                <c:pt idx="0">
                  <c:v>Unflavoured milk</c:v>
                </c:pt>
              </c:strCache>
            </c:strRef>
          </c:tx>
          <c:spPr>
            <a:solidFill>
              <a:schemeClr val="accent4">
                <a:lumMod val="75000"/>
              </a:schemeClr>
            </a:solidFill>
          </c:spPr>
          <c:invertIfNegative val="0"/>
          <c:cat>
            <c:strRef>
              <c:f>'NZ%Contrib'!$C$7:$F$7</c:f>
              <c:strCache>
                <c:ptCount val="4"/>
                <c:pt idx="0">
                  <c:v>15-17
(1.84)</c:v>
                </c:pt>
                <c:pt idx="1">
                  <c:v>18-44
(1.05)</c:v>
                </c:pt>
                <c:pt idx="2">
                  <c:v>45+
(1.28)</c:v>
                </c:pt>
                <c:pt idx="3">
                  <c:v>All ages
(1.24)</c:v>
                </c:pt>
              </c:strCache>
            </c:strRef>
          </c:cat>
          <c:val>
            <c:numRef>
              <c:f>'NZ%Contrib'!$C$12:$F$12</c:f>
              <c:numCache>
                <c:formatCode>General</c:formatCode>
                <c:ptCount val="4"/>
                <c:pt idx="0">
                  <c:v>0</c:v>
                </c:pt>
                <c:pt idx="1">
                  <c:v>0</c:v>
                </c:pt>
                <c:pt idx="2" formatCode="0.00">
                  <c:v>0</c:v>
                </c:pt>
                <c:pt idx="3">
                  <c:v>0</c:v>
                </c:pt>
              </c:numCache>
            </c:numRef>
          </c:val>
        </c:ser>
        <c:ser>
          <c:idx val="5"/>
          <c:order val="5"/>
          <c:tx>
            <c:strRef>
              <c:f>'NZ%Contrib'!$B$13</c:f>
              <c:strCache>
                <c:ptCount val="1"/>
                <c:pt idx="0">
                  <c:v>Processed cheese</c:v>
                </c:pt>
              </c:strCache>
            </c:strRef>
          </c:tx>
          <c:invertIfNegative val="0"/>
          <c:val>
            <c:numRef>
              <c:f>'NZ%Contrib'!$D$13:$F$13</c:f>
              <c:numCache>
                <c:formatCode>0.00</c:formatCode>
                <c:ptCount val="3"/>
                <c:pt idx="0" formatCode="General">
                  <c:v>0</c:v>
                </c:pt>
                <c:pt idx="1">
                  <c:v>0</c:v>
                </c:pt>
                <c:pt idx="2" formatCode="General">
                  <c:v>0</c:v>
                </c:pt>
              </c:numCache>
            </c:numRef>
          </c:val>
        </c:ser>
        <c:dLbls>
          <c:showLegendKey val="0"/>
          <c:showVal val="0"/>
          <c:showCatName val="0"/>
          <c:showSerName val="0"/>
          <c:showPercent val="0"/>
          <c:showBubbleSize val="0"/>
        </c:dLbls>
        <c:gapWidth val="150"/>
        <c:overlap val="100"/>
        <c:axId val="132252032"/>
        <c:axId val="132253568"/>
      </c:barChart>
      <c:catAx>
        <c:axId val="132252032"/>
        <c:scaling>
          <c:orientation val="minMax"/>
        </c:scaling>
        <c:delete val="0"/>
        <c:axPos val="b"/>
        <c:majorTickMark val="out"/>
        <c:minorTickMark val="none"/>
        <c:tickLblPos val="nextTo"/>
        <c:crossAx val="132253568"/>
        <c:crosses val="autoZero"/>
        <c:auto val="1"/>
        <c:lblAlgn val="ctr"/>
        <c:lblOffset val="100"/>
        <c:noMultiLvlLbl val="0"/>
      </c:catAx>
      <c:valAx>
        <c:axId val="132253568"/>
        <c:scaling>
          <c:orientation val="minMax"/>
        </c:scaling>
        <c:delete val="0"/>
        <c:axPos val="l"/>
        <c:majorGridlines/>
        <c:title>
          <c:tx>
            <c:rich>
              <a:bodyPr rot="-5400000" vert="horz"/>
              <a:lstStyle/>
              <a:p>
                <a:pPr>
                  <a:defRPr sz="1200"/>
                </a:pPr>
                <a:r>
                  <a:rPr lang="en-GB" sz="1200"/>
                  <a:t>Percent</a:t>
                </a:r>
                <a:r>
                  <a:rPr lang="en-GB" sz="1200" baseline="0"/>
                  <a:t> contribution  to phytosterol exposure </a:t>
                </a:r>
                <a:endParaRPr lang="en-GB" sz="1200"/>
              </a:p>
            </c:rich>
          </c:tx>
          <c:layout>
            <c:manualLayout>
              <c:xMode val="edge"/>
              <c:yMode val="edge"/>
              <c:x val="2.3970403610589484E-3"/>
              <c:y val="0.17404369265162609"/>
            </c:manualLayout>
          </c:layout>
          <c:overlay val="0"/>
        </c:title>
        <c:numFmt formatCode="0%" sourceLinked="1"/>
        <c:majorTickMark val="out"/>
        <c:minorTickMark val="none"/>
        <c:tickLblPos val="nextTo"/>
        <c:crossAx val="132252032"/>
        <c:crosses val="autoZero"/>
        <c:crossBetween val="between"/>
      </c:valAx>
    </c:plotArea>
    <c:legend>
      <c:legendPos val="r"/>
      <c:layout>
        <c:manualLayout>
          <c:xMode val="edge"/>
          <c:yMode val="edge"/>
          <c:x val="0.69766909440027014"/>
          <c:y val="0.15198080088855392"/>
          <c:w val="0.29891876466317613"/>
          <c:h val="0.6200581042477604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C: New Zealand Children (2002 NZ NCNS) - Day 1</a:t>
            </a:r>
          </a:p>
        </c:rich>
      </c:tx>
      <c:layout>
        <c:manualLayout>
          <c:xMode val="edge"/>
          <c:yMode val="edge"/>
          <c:x val="2.8379373412990467E-4"/>
          <c:y val="1.6676195295842269E-2"/>
        </c:manualLayout>
      </c:layout>
      <c:overlay val="1"/>
    </c:title>
    <c:autoTitleDeleted val="0"/>
    <c:plotArea>
      <c:layout>
        <c:manualLayout>
          <c:layoutTarget val="inner"/>
          <c:xMode val="edge"/>
          <c:yMode val="edge"/>
          <c:x val="0.16195320662666057"/>
          <c:y val="0.15498754900630435"/>
          <c:w val="0.46524425769989164"/>
          <c:h val="0.54855984782883305"/>
        </c:manualLayout>
      </c:layout>
      <c:barChart>
        <c:barDir val="col"/>
        <c:grouping val="percentStacked"/>
        <c:varyColors val="0"/>
        <c:ser>
          <c:idx val="0"/>
          <c:order val="0"/>
          <c:tx>
            <c:strRef>
              <c:f>'NZ%Contrib'!$M$8</c:f>
              <c:strCache>
                <c:ptCount val="1"/>
                <c:pt idx="0">
                  <c:v>Edible oil spread, standard fat</c:v>
                </c:pt>
              </c:strCache>
            </c:strRef>
          </c:tx>
          <c:spPr>
            <a:solidFill>
              <a:schemeClr val="accent1">
                <a:lumMod val="75000"/>
              </a:schemeClr>
            </a:solidFill>
          </c:spPr>
          <c:invertIfNegative val="0"/>
          <c:cat>
            <c:strRef>
              <c:f>'NZ%Contrib'!$N$7:$P$7</c:f>
              <c:strCache>
                <c:ptCount val="3"/>
                <c:pt idx="0">
                  <c:v>5-12
(1.10)</c:v>
                </c:pt>
                <c:pt idx="1">
                  <c:v>13-14
(3.06)</c:v>
                </c:pt>
                <c:pt idx="2">
                  <c:v>All ages
(1.75) </c:v>
                </c:pt>
              </c:strCache>
            </c:strRef>
          </c:cat>
          <c:val>
            <c:numRef>
              <c:f>'NZ%Contrib'!$N$8:$P$8</c:f>
              <c:numCache>
                <c:formatCode>General</c:formatCode>
                <c:ptCount val="3"/>
                <c:pt idx="0">
                  <c:v>87.61</c:v>
                </c:pt>
                <c:pt idx="1">
                  <c:v>100</c:v>
                </c:pt>
                <c:pt idx="2" formatCode="0.00">
                  <c:v>94.76</c:v>
                </c:pt>
              </c:numCache>
            </c:numRef>
          </c:val>
        </c:ser>
        <c:ser>
          <c:idx val="1"/>
          <c:order val="1"/>
          <c:tx>
            <c:strRef>
              <c:f>'NZ%Contrib'!$M$9</c:f>
              <c:strCache>
                <c:ptCount val="1"/>
                <c:pt idx="0">
                  <c:v>Edible oil spread, standard fat, reduced salt</c:v>
                </c:pt>
              </c:strCache>
            </c:strRef>
          </c:tx>
          <c:spPr>
            <a:solidFill>
              <a:srgbClr val="CC0000"/>
            </a:solidFill>
          </c:spPr>
          <c:invertIfNegative val="0"/>
          <c:cat>
            <c:strRef>
              <c:f>'NZ%Contrib'!$N$7:$P$7</c:f>
              <c:strCache>
                <c:ptCount val="3"/>
                <c:pt idx="0">
                  <c:v>5-12
(1.10)</c:v>
                </c:pt>
                <c:pt idx="1">
                  <c:v>13-14
(3.06)</c:v>
                </c:pt>
                <c:pt idx="2">
                  <c:v>All ages
(1.75) </c:v>
                </c:pt>
              </c:strCache>
            </c:strRef>
          </c:cat>
          <c:val>
            <c:numRef>
              <c:f>'NZ%Contrib'!$N$9:$P$9</c:f>
              <c:numCache>
                <c:formatCode>0.00</c:formatCode>
                <c:ptCount val="3"/>
                <c:pt idx="0">
                  <c:v>0</c:v>
                </c:pt>
                <c:pt idx="1">
                  <c:v>0</c:v>
                </c:pt>
                <c:pt idx="2">
                  <c:v>0</c:v>
                </c:pt>
              </c:numCache>
            </c:numRef>
          </c:val>
        </c:ser>
        <c:ser>
          <c:idx val="2"/>
          <c:order val="2"/>
          <c:tx>
            <c:strRef>
              <c:f>'NZ%Contrib'!$M$10</c:f>
              <c:strCache>
                <c:ptCount val="1"/>
                <c:pt idx="0">
                  <c:v>Edible oil spread, reduced fat</c:v>
                </c:pt>
              </c:strCache>
            </c:strRef>
          </c:tx>
          <c:spPr>
            <a:solidFill>
              <a:schemeClr val="bg2">
                <a:lumMod val="75000"/>
              </a:schemeClr>
            </a:solidFill>
          </c:spPr>
          <c:invertIfNegative val="0"/>
          <c:cat>
            <c:strRef>
              <c:f>'NZ%Contrib'!$N$7:$P$7</c:f>
              <c:strCache>
                <c:ptCount val="3"/>
                <c:pt idx="0">
                  <c:v>5-12
(1.10)</c:v>
                </c:pt>
                <c:pt idx="1">
                  <c:v>13-14
(3.06)</c:v>
                </c:pt>
                <c:pt idx="2">
                  <c:v>All ages
(1.75) </c:v>
                </c:pt>
              </c:strCache>
            </c:strRef>
          </c:cat>
          <c:val>
            <c:numRef>
              <c:f>'NZ%Contrib'!$N$10:$P$10</c:f>
              <c:numCache>
                <c:formatCode>General</c:formatCode>
                <c:ptCount val="3"/>
                <c:pt idx="0">
                  <c:v>12.39</c:v>
                </c:pt>
                <c:pt idx="1">
                  <c:v>0</c:v>
                </c:pt>
                <c:pt idx="2" formatCode="0.00">
                  <c:v>5.24</c:v>
                </c:pt>
              </c:numCache>
            </c:numRef>
          </c:val>
        </c:ser>
        <c:ser>
          <c:idx val="3"/>
          <c:order val="3"/>
          <c:tx>
            <c:strRef>
              <c:f>'NZ%Contrib'!$M$11</c:f>
              <c:strCache>
                <c:ptCount val="1"/>
                <c:pt idx="0">
                  <c:v>Edible oil spread, reduced fat, reduced salt</c:v>
                </c:pt>
              </c:strCache>
            </c:strRef>
          </c:tx>
          <c:spPr>
            <a:solidFill>
              <a:schemeClr val="accent3">
                <a:lumMod val="75000"/>
              </a:schemeClr>
            </a:solidFill>
          </c:spPr>
          <c:invertIfNegative val="0"/>
          <c:cat>
            <c:strRef>
              <c:f>'NZ%Contrib'!$N$7:$P$7</c:f>
              <c:strCache>
                <c:ptCount val="3"/>
                <c:pt idx="0">
                  <c:v>5-12
(1.10)</c:v>
                </c:pt>
                <c:pt idx="1">
                  <c:v>13-14
(3.06)</c:v>
                </c:pt>
                <c:pt idx="2">
                  <c:v>All ages
(1.75) </c:v>
                </c:pt>
              </c:strCache>
            </c:strRef>
          </c:cat>
          <c:val>
            <c:numRef>
              <c:f>'NZ%Contrib'!$N$11:$P$11</c:f>
              <c:numCache>
                <c:formatCode>General</c:formatCode>
                <c:ptCount val="3"/>
                <c:pt idx="0">
                  <c:v>0</c:v>
                </c:pt>
                <c:pt idx="1">
                  <c:v>0</c:v>
                </c:pt>
                <c:pt idx="2" formatCode="0.00">
                  <c:v>0</c:v>
                </c:pt>
              </c:numCache>
            </c:numRef>
          </c:val>
        </c:ser>
        <c:ser>
          <c:idx val="4"/>
          <c:order val="4"/>
          <c:tx>
            <c:strRef>
              <c:f>'NZ%Contrib'!$M$12</c:f>
              <c:strCache>
                <c:ptCount val="1"/>
                <c:pt idx="0">
                  <c:v>Unflavoured milk</c:v>
                </c:pt>
              </c:strCache>
            </c:strRef>
          </c:tx>
          <c:spPr>
            <a:solidFill>
              <a:schemeClr val="accent4">
                <a:lumMod val="75000"/>
              </a:schemeClr>
            </a:solidFill>
          </c:spPr>
          <c:invertIfNegative val="0"/>
          <c:cat>
            <c:strRef>
              <c:f>'NZ%Contrib'!$N$7:$P$7</c:f>
              <c:strCache>
                <c:ptCount val="3"/>
                <c:pt idx="0">
                  <c:v>5-12
(1.10)</c:v>
                </c:pt>
                <c:pt idx="1">
                  <c:v>13-14
(3.06)</c:v>
                </c:pt>
                <c:pt idx="2">
                  <c:v>All ages
(1.75) </c:v>
                </c:pt>
              </c:strCache>
            </c:strRef>
          </c:cat>
          <c:val>
            <c:numRef>
              <c:f>'NZ%Contrib'!$N$12:$P$12</c:f>
              <c:numCache>
                <c:formatCode>General</c:formatCode>
                <c:ptCount val="3"/>
                <c:pt idx="0">
                  <c:v>0</c:v>
                </c:pt>
                <c:pt idx="1">
                  <c:v>0</c:v>
                </c:pt>
                <c:pt idx="2" formatCode="0.00">
                  <c:v>0</c:v>
                </c:pt>
              </c:numCache>
            </c:numRef>
          </c:val>
        </c:ser>
        <c:ser>
          <c:idx val="5"/>
          <c:order val="5"/>
          <c:tx>
            <c:strRef>
              <c:f>'NZ%Contrib'!$M$13</c:f>
              <c:strCache>
                <c:ptCount val="1"/>
                <c:pt idx="0">
                  <c:v>Processed cheese</c:v>
                </c:pt>
              </c:strCache>
            </c:strRef>
          </c:tx>
          <c:invertIfNegative val="0"/>
          <c:cat>
            <c:strRef>
              <c:f>'NZ%Contrib'!$N$7:$P$7</c:f>
              <c:strCache>
                <c:ptCount val="3"/>
                <c:pt idx="0">
                  <c:v>5-12
(1.10)</c:v>
                </c:pt>
                <c:pt idx="1">
                  <c:v>13-14
(3.06)</c:v>
                </c:pt>
                <c:pt idx="2">
                  <c:v>All ages
(1.75) </c:v>
                </c:pt>
              </c:strCache>
            </c:strRef>
          </c:cat>
          <c:val>
            <c:numRef>
              <c:f>'NZ%Contrib'!$N$13:$P$13</c:f>
              <c:numCache>
                <c:formatCode>General</c:formatCode>
                <c:ptCount val="3"/>
                <c:pt idx="0">
                  <c:v>0</c:v>
                </c:pt>
                <c:pt idx="1">
                  <c:v>0</c:v>
                </c:pt>
                <c:pt idx="2" formatCode="0.00">
                  <c:v>0</c:v>
                </c:pt>
              </c:numCache>
            </c:numRef>
          </c:val>
        </c:ser>
        <c:dLbls>
          <c:showLegendKey val="0"/>
          <c:showVal val="0"/>
          <c:showCatName val="0"/>
          <c:showSerName val="0"/>
          <c:showPercent val="0"/>
          <c:showBubbleSize val="0"/>
        </c:dLbls>
        <c:gapWidth val="254"/>
        <c:overlap val="100"/>
        <c:axId val="132299392"/>
        <c:axId val="132305664"/>
      </c:barChart>
      <c:catAx>
        <c:axId val="132299392"/>
        <c:scaling>
          <c:orientation val="minMax"/>
        </c:scaling>
        <c:delete val="0"/>
        <c:axPos val="b"/>
        <c:title>
          <c:tx>
            <c:rich>
              <a:bodyPr/>
              <a:lstStyle/>
              <a:p>
                <a:pPr>
                  <a:defRPr/>
                </a:pPr>
                <a:r>
                  <a:rPr lang="en-GB" sz="1200"/>
                  <a:t>Age groups in years</a:t>
                </a:r>
              </a:p>
              <a:p>
                <a:pPr>
                  <a:defRPr/>
                </a:pPr>
                <a:r>
                  <a:rPr lang="en-GB" sz="1200"/>
                  <a:t>(mean exposure in g/day</a:t>
                </a:r>
                <a:r>
                  <a:rPr lang="en-GB"/>
                  <a:t>)</a:t>
                </a:r>
              </a:p>
            </c:rich>
          </c:tx>
          <c:overlay val="0"/>
        </c:title>
        <c:majorTickMark val="out"/>
        <c:minorTickMark val="none"/>
        <c:tickLblPos val="nextTo"/>
        <c:crossAx val="132305664"/>
        <c:crosses val="autoZero"/>
        <c:auto val="1"/>
        <c:lblAlgn val="ctr"/>
        <c:lblOffset val="100"/>
        <c:noMultiLvlLbl val="0"/>
      </c:catAx>
      <c:valAx>
        <c:axId val="132305664"/>
        <c:scaling>
          <c:orientation val="minMax"/>
          <c:max val="1"/>
          <c:min val="0"/>
        </c:scaling>
        <c:delete val="0"/>
        <c:axPos val="l"/>
        <c:majorGridlines/>
        <c:title>
          <c:tx>
            <c:rich>
              <a:bodyPr rot="-5400000" vert="horz"/>
              <a:lstStyle/>
              <a:p>
                <a:pPr>
                  <a:defRPr/>
                </a:pPr>
                <a:r>
                  <a:rPr lang="en-GB" sz="1200"/>
                  <a:t>Percent</a:t>
                </a:r>
                <a:r>
                  <a:rPr lang="en-GB" sz="1200" baseline="0"/>
                  <a:t> contribution to </a:t>
                </a:r>
              </a:p>
              <a:p>
                <a:pPr>
                  <a:defRPr/>
                </a:pPr>
                <a:r>
                  <a:rPr lang="en-GB" sz="1200" baseline="0"/>
                  <a:t>phytosterol exposure</a:t>
                </a:r>
                <a:endParaRPr lang="en-GB" sz="1200"/>
              </a:p>
            </c:rich>
          </c:tx>
          <c:layout>
            <c:manualLayout>
              <c:xMode val="edge"/>
              <c:yMode val="edge"/>
              <c:x val="6.275556198914475E-3"/>
              <c:y val="0.14784262237364718"/>
            </c:manualLayout>
          </c:layout>
          <c:overlay val="0"/>
        </c:title>
        <c:numFmt formatCode="0%" sourceLinked="1"/>
        <c:majorTickMark val="out"/>
        <c:minorTickMark val="none"/>
        <c:tickLblPos val="nextTo"/>
        <c:crossAx val="132299392"/>
        <c:crosses val="autoZero"/>
        <c:crossBetween val="between"/>
      </c:valAx>
    </c:plotArea>
    <c:legend>
      <c:legendPos val="r"/>
      <c:layout>
        <c:manualLayout>
          <c:xMode val="edge"/>
          <c:yMode val="edge"/>
          <c:x val="0.67965816559619463"/>
          <c:y val="7.8493338076569011E-2"/>
          <c:w val="0.32034183440380531"/>
          <c:h val="0.8430133238468619"/>
        </c:manualLayout>
      </c:layout>
      <c:overlay val="0"/>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0.00396</cdr:x>
      <cdr:y>0.82283</cdr:y>
    </cdr:from>
    <cdr:to>
      <cdr:x>0.22037</cdr:x>
      <cdr:y>0.92731</cdr:y>
    </cdr:to>
    <cdr:sp macro="" textlink="">
      <cdr:nvSpPr>
        <cdr:cNvPr id="2" name="TextBox 1"/>
        <cdr:cNvSpPr txBox="1"/>
      </cdr:nvSpPr>
      <cdr:spPr>
        <a:xfrm xmlns:a="http://schemas.openxmlformats.org/drawingml/2006/main">
          <a:off x="26118" y="2736281"/>
          <a:ext cx="1427887" cy="3474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57E33-019B-455E-9A3E-896478DFC591}"/>
</file>

<file path=customXml/itemProps2.xml><?xml version="1.0" encoding="utf-8"?>
<ds:datastoreItem xmlns:ds="http://schemas.openxmlformats.org/officeDocument/2006/customXml" ds:itemID="{EDABB30F-4DDF-4BE5-A3BE-6E1888EB35C9}"/>
</file>

<file path=customXml/itemProps3.xml><?xml version="1.0" encoding="utf-8"?>
<ds:datastoreItem xmlns:ds="http://schemas.openxmlformats.org/officeDocument/2006/customXml" ds:itemID="{12628509-0F57-440B-8118-CD349B40FBE8}"/>
</file>

<file path=customXml/itemProps4.xml><?xml version="1.0" encoding="utf-8"?>
<ds:datastoreItem xmlns:ds="http://schemas.openxmlformats.org/officeDocument/2006/customXml" ds:itemID="{00257E33-019B-455E-9A3E-896478DFC591}">
  <ds:schemaRefs>
    <ds:schemaRef ds:uri="http://schemas.microsoft.com/sharepoint/v3/contenttype/forms"/>
  </ds:schemaRefs>
</ds:datastoreItem>
</file>

<file path=customXml/itemProps5.xml><?xml version="1.0" encoding="utf-8"?>
<ds:datastoreItem xmlns:ds="http://schemas.openxmlformats.org/officeDocument/2006/customXml" ds:itemID="{0A416909-872B-41C6-93AE-726634CF472E}">
  <ds:schemaRefs>
    <ds:schemaRef ds:uri="http://schemas.microsoft.com/sharepoint/events"/>
  </ds:schemaRefs>
</ds:datastoreItem>
</file>

<file path=customXml/itemProps6.xml><?xml version="1.0" encoding="utf-8"?>
<ds:datastoreItem xmlns:ds="http://schemas.openxmlformats.org/officeDocument/2006/customXml" ds:itemID="{46B5762A-918D-4A74-8EBD-BE3734ABBF04}"/>
</file>

<file path=docProps/app.xml><?xml version="1.0" encoding="utf-8"?>
<Properties xmlns="http://schemas.openxmlformats.org/officeDocument/2006/extended-properties" xmlns:vt="http://schemas.openxmlformats.org/officeDocument/2006/docPropsVTypes">
  <Template>Normal</Template>
  <TotalTime>13</TotalTime>
  <Pages>45</Pages>
  <Words>78282</Words>
  <Characters>446208</Characters>
  <Application>Microsoft Office Word</Application>
  <DocSecurity>0</DocSecurity>
  <Lines>3718</Lines>
  <Paragraphs>1046</Paragraphs>
  <ScaleCrop>false</ScaleCrop>
  <HeadingPairs>
    <vt:vector size="2" baseType="variant">
      <vt:variant>
        <vt:lpstr>Title</vt:lpstr>
      </vt:variant>
      <vt:variant>
        <vt:i4>1</vt:i4>
      </vt:variant>
    </vt:vector>
  </HeadingPairs>
  <TitlesOfParts>
    <vt:vector size="1" baseType="lpstr">
      <vt:lpstr>SD1 Phytosterols in cereals</vt:lpstr>
    </vt:vector>
  </TitlesOfParts>
  <Company>ANZFA</Company>
  <LinksUpToDate>false</LinksUpToDate>
  <CharactersWithSpaces>523444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A1134 Plant sterols in breakfast cereals AppR SD1 Risk assess</dc:title>
  <dc:creator>Ramez.Alhazzaa@foodstandards.gov.au</dc:creator>
  <cp:keywords>Phytosterols; cereals</cp:keywords>
  <cp:lastModifiedBy>coughc</cp:lastModifiedBy>
  <cp:revision>11</cp:revision>
  <cp:lastPrinted>2017-03-14T06:10:00Z</cp:lastPrinted>
  <dcterms:created xsi:type="dcterms:W3CDTF">2017-02-20T05:16:00Z</dcterms:created>
  <dcterms:modified xsi:type="dcterms:W3CDTF">2017-03-14T21:52:00Z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001b2188-9a8a-41cb-a8d0-017fe08ba8b1</vt:lpwstr>
  </property>
  <property fmtid="{D5CDD505-2E9C-101B-9397-08002B2CF9AE}" pid="5" name="DisposalClass">
    <vt:lpwstr/>
  </property>
  <property fmtid="{D5CDD505-2E9C-101B-9397-08002B2CF9AE}" pid="6" name="Mendeley Document_1">
    <vt:lpwstr>True</vt:lpwstr>
  </property>
  <property fmtid="{D5CDD505-2E9C-101B-9397-08002B2CF9AE}" pid="7" name="Mendeley User Name_1">
    <vt:lpwstr>ralhazzaa@gmail.com@www.mendeley.com</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6th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http://www.zotero.org/styles/archives-of-microbiology</vt:lpwstr>
  </property>
  <property fmtid="{D5CDD505-2E9C-101B-9397-08002B2CF9AE}" pid="17" name="Mendeley Recent Style Name 4_1">
    <vt:lpwstr>Archives of Microbiology</vt:lpwstr>
  </property>
  <property fmtid="{D5CDD505-2E9C-101B-9397-08002B2CF9AE}" pid="18" name="Mendeley Recent Style Id 5_1">
    <vt:lpwstr>http://www.zotero.org/styles/chicago-author-date</vt:lpwstr>
  </property>
  <property fmtid="{D5CDD505-2E9C-101B-9397-08002B2CF9AE}" pid="19" name="Mendeley Recent Style Name 5_1">
    <vt:lpwstr>Chicago Manual of Style 16th edition (author-date)</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7th edition</vt:lpwstr>
  </property>
  <property fmtid="{D5CDD505-2E9C-101B-9397-08002B2CF9AE}" pid="26" name="Mendeley Recent Style Id 9_1">
    <vt:lpwstr>http://csl.mendeley.com/styles/81958831/FSANZ</vt:lpwstr>
  </property>
  <property fmtid="{D5CDD505-2E9C-101B-9397-08002B2CF9AE}" pid="27" name="Mendeley Recent Style Name 9_1">
    <vt:lpwstr>Ramez Alhazzaa</vt:lpwstr>
  </property>
  <property fmtid="{D5CDD505-2E9C-101B-9397-08002B2CF9AE}" pid="28" name="SPPCopyMoveEvent">
    <vt:lpwstr>1</vt:lpwstr>
  </property>
  <property fmtid="{D5CDD505-2E9C-101B-9397-08002B2CF9AE}" pid="29" name="a41428b017d04df981d58ffdf035d7b8">
    <vt:lpwstr/>
  </property>
  <property fmtid="{D5CDD505-2E9C-101B-9397-08002B2CF9AE}" pid="30" name="Mendeley Citation Style_1">
    <vt:lpwstr>http://csl.mendeley.com/styles/81958831/FSANZ</vt:lpwstr>
  </property>
</Properties>
</file>